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DCC3500" w14:textId="21477A53" w:rsidR="00EB66C2" w:rsidRDefault="00EB66C2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EB66C2">
        <w:rPr>
          <w:rFonts w:ascii="Calibri" w:eastAsia="Calibri" w:hAnsi="Calibri" w:cs="Calibri"/>
          <w:color w:val="017564"/>
          <w:w w:val="105"/>
          <w:sz w:val="28"/>
          <w:lang w:val="en-US"/>
        </w:rPr>
        <w:t>STRAP-ON TEMPERATURE TRANSMITTER</w:t>
      </w:r>
    </w:p>
    <w:p w14:paraId="6A714E0C" w14:textId="6EADEBF4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EB66C2">
        <w:rPr>
          <w:rFonts w:ascii="Calibri" w:eastAsia="Calibri" w:hAnsi="Calibri" w:cs="Calibri"/>
          <w:color w:val="7E7E7E"/>
          <w:lang w:val="en-US"/>
        </w:rPr>
        <w:t>X</w:t>
      </w:r>
      <w:r w:rsidR="009F1318">
        <w:rPr>
          <w:rFonts w:ascii="Calibri" w:eastAsia="Calibri" w:hAnsi="Calibri" w:cs="Calibri"/>
          <w:color w:val="7E7E7E"/>
          <w:lang w:val="en-US"/>
        </w:rPr>
        <w:t>SO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61F0A6A" w14:textId="77777777" w:rsidR="00C333D5" w:rsidRPr="000230EC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116A1A3B" w14:textId="40B0A902" w:rsidR="00843729" w:rsidRDefault="00A01C2D" w:rsidP="00A01C2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single point strap-on temperature transmitter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has a precision platinum RTD</w:t>
      </w:r>
      <w:r w:rsidR="00150AB2" w:rsidRPr="00150AB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potted in a</w:t>
      </w:r>
      <w:r w:rsidR="00150AB2">
        <w:t xml:space="preserve"> </w:t>
      </w:r>
      <w:r w:rsidR="00150AB2" w:rsidRPr="00150AB2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One-piece precision machined aluminum heat sink</w:t>
      </w: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. A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25.4 cm (10”) S/S Pipe clamp is provided to secure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assembly to various sizes of pipes. All probes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are constructed to provide excellent heat transfer,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fast response and are potted to resist moisture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penetration. A transmitter that provides a high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accuracy signal with excellent long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</w:t>
      </w: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term stability,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low hysteresis and fast response is available with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1C2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various ranges.</w:t>
      </w:r>
    </w:p>
    <w:p w14:paraId="0F5E9CF7" w14:textId="2E6FC876" w:rsidR="00AE3CA4" w:rsidRPr="00A534DE" w:rsidRDefault="00391455" w:rsidP="00843729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534DE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5995032A" w14:textId="77777777" w:rsidR="00150AB2" w:rsidRPr="00A534DE" w:rsidRDefault="00150AB2" w:rsidP="00150AB2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Compact form factor enclosure with soft close cover</w:t>
      </w:r>
    </w:p>
    <w:p w14:paraId="44A7404B" w14:textId="77777777" w:rsidR="00150AB2" w:rsidRDefault="00150AB2" w:rsidP="00150AB2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IP 65 Enclosure</w:t>
      </w:r>
    </w:p>
    <w:p w14:paraId="5F5A5583" w14:textId="77777777" w:rsidR="00150AB2" w:rsidRDefault="00150AB2" w:rsidP="00150AB2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Adjustable angle for sensor for easy mounting</w:t>
      </w:r>
    </w:p>
    <w:p w14:paraId="278F5B62" w14:textId="77777777" w:rsidR="00150AB2" w:rsidRPr="00A534DE" w:rsidRDefault="00150AB2" w:rsidP="00150AB2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Fast response time</w:t>
      </w:r>
    </w:p>
    <w:p w14:paraId="41B17B72" w14:textId="77777777" w:rsidR="00150AB2" w:rsidRPr="00A534DE" w:rsidRDefault="00150AB2" w:rsidP="00150AB2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Slotted mounting holes angled for ease of field installation</w:t>
      </w:r>
    </w:p>
    <w:p w14:paraId="50D98AC5" w14:textId="77777777" w:rsidR="00150AB2" w:rsidRPr="00A534DE" w:rsidRDefault="00150AB2" w:rsidP="00150AB2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Custom branding available</w:t>
      </w:r>
    </w:p>
    <w:p w14:paraId="50170E9E" w14:textId="2919ACFD" w:rsidR="00A534DE" w:rsidRPr="00A534DE" w:rsidRDefault="00A534DE" w:rsidP="00A534DE">
      <w:pPr>
        <w:jc w:val="both"/>
        <w:rPr>
          <w:color w:val="7F7F7F" w:themeColor="text1" w:themeTint="80"/>
          <w:highlight w:val="yellow"/>
        </w:rPr>
      </w:pPr>
    </w:p>
    <w:p w14:paraId="2A10FB8B" w14:textId="77777777" w:rsidR="00342F94" w:rsidRDefault="00342F94" w:rsidP="00342F94">
      <w:pPr>
        <w:widowControl/>
        <w:autoSpaceDE w:val="0"/>
        <w:autoSpaceDN w:val="0"/>
        <w:spacing w:before="159" w:after="120" w:line="254" w:lineRule="exact"/>
        <w:rPr>
          <w:rFonts w:ascii="Calibri" w:eastAsia="Calibri" w:hAnsi="Calibri" w:cs="Calibri"/>
          <w:snapToGrid/>
          <w:color w:val="017464"/>
          <w:sz w:val="22"/>
          <w:szCs w:val="22"/>
        </w:rPr>
      </w:pPr>
      <w:r>
        <w:rPr>
          <w:rFonts w:ascii="Calibri" w:eastAsia="Calibri" w:hAnsi="Calibri" w:cs="Calibri"/>
          <w:color w:val="017464"/>
          <w:sz w:val="22"/>
          <w:szCs w:val="22"/>
        </w:rPr>
        <w:t>ENGINEERING SPEC’S</w:t>
      </w:r>
    </w:p>
    <w:p w14:paraId="3EB26BFE" w14:textId="77777777" w:rsidR="00873BCA" w:rsidRDefault="00873BCA" w:rsidP="00873BCA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5DE5C717" w14:textId="77777777" w:rsidR="00873BCA" w:rsidRDefault="00873BCA" w:rsidP="00873BCA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30EFB299" w14:textId="77777777" w:rsidR="00873BCA" w:rsidRDefault="00873BCA" w:rsidP="00873BCA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76A35BB0" w14:textId="77777777" w:rsidR="00873BCA" w:rsidRDefault="00873BCA" w:rsidP="00873BCA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0B5BBF28" w14:textId="4866379A" w:rsidR="00873BCA" w:rsidRPr="00873BCA" w:rsidRDefault="00873BCA" w:rsidP="00873BCA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1B8F0204" w14:textId="241E1EED" w:rsidR="00342F94" w:rsidRDefault="00342F94" w:rsidP="00342F94">
      <w:pPr>
        <w:widowControl/>
        <w:numPr>
          <w:ilvl w:val="0"/>
          <w:numId w:val="30"/>
        </w:numPr>
        <w:autoSpaceDE w:val="0"/>
        <w:autoSpaceDN w:val="0"/>
        <w:snapToGrid w:val="0"/>
        <w:spacing w:before="159" w:after="120" w:line="254" w:lineRule="exact"/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</w:pPr>
      <w:r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>Mounting clamp shall be a one-piece quick release for ease of field installation</w:t>
      </w:r>
    </w:p>
    <w:p w14:paraId="1DD90C98" w14:textId="48919D06" w:rsidR="00342F94" w:rsidRDefault="00342F94" w:rsidP="00342F94">
      <w:pPr>
        <w:widowControl/>
        <w:numPr>
          <w:ilvl w:val="0"/>
          <w:numId w:val="30"/>
        </w:numPr>
        <w:autoSpaceDE w:val="0"/>
        <w:autoSpaceDN w:val="0"/>
        <w:snapToGrid w:val="0"/>
        <w:spacing w:before="159" w:after="120" w:line="254" w:lineRule="exact"/>
        <w:jc w:val="both"/>
        <w:rPr>
          <w:rFonts w:ascii="Calibri" w:eastAsia="Calibri" w:hAnsi="Calibri"/>
          <w:color w:val="7F7F7F" w:themeColor="text1" w:themeTint="80"/>
          <w:sz w:val="22"/>
          <w:szCs w:val="22"/>
          <w:lang w:val="en-CA"/>
        </w:rPr>
      </w:pPr>
      <w:r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>Probe must be one-piece Machined Aluminum heat sink</w:t>
      </w:r>
      <w:r w:rsidR="008462F9"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 xml:space="preserve"> complete fully potted sensor</w:t>
      </w:r>
    </w:p>
    <w:p w14:paraId="2AC4D7D2" w14:textId="693C1784" w:rsidR="00342F94" w:rsidRDefault="00342F94" w:rsidP="00342F94">
      <w:pPr>
        <w:widowControl/>
        <w:numPr>
          <w:ilvl w:val="0"/>
          <w:numId w:val="30"/>
        </w:numPr>
        <w:autoSpaceDE w:val="0"/>
        <w:autoSpaceDN w:val="0"/>
        <w:snapToGrid w:val="0"/>
        <w:spacing w:before="159" w:after="120" w:line="254" w:lineRule="exact"/>
        <w:jc w:val="both"/>
        <w:rPr>
          <w:rFonts w:ascii="Calibri" w:eastAsia="Calibri" w:hAnsi="Calibri"/>
          <w:color w:val="7F7F7F" w:themeColor="text1" w:themeTint="80"/>
          <w:sz w:val="22"/>
          <w:szCs w:val="22"/>
          <w:lang w:val="en-CA"/>
        </w:rPr>
      </w:pPr>
      <w:r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 xml:space="preserve">Sensing range must be </w:t>
      </w:r>
      <w:r w:rsidR="002362D7" w:rsidRPr="002362D7"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>-40 to 100°C (-40 to 212°F)</w:t>
      </w:r>
    </w:p>
    <w:p w14:paraId="5C985A65" w14:textId="77777777" w:rsidR="00342F94" w:rsidRDefault="00342F94" w:rsidP="00342F94">
      <w:pPr>
        <w:widowControl/>
        <w:numPr>
          <w:ilvl w:val="0"/>
          <w:numId w:val="30"/>
        </w:numPr>
        <w:autoSpaceDE w:val="0"/>
        <w:autoSpaceDN w:val="0"/>
        <w:snapToGrid w:val="0"/>
        <w:spacing w:before="159" w:after="120" w:line="254" w:lineRule="exact"/>
        <w:jc w:val="both"/>
        <w:rPr>
          <w:rFonts w:ascii="Calibri" w:eastAsia="Calibri" w:hAnsi="Calibri"/>
          <w:color w:val="7F7F7F" w:themeColor="text1" w:themeTint="80"/>
          <w:sz w:val="22"/>
          <w:szCs w:val="22"/>
          <w:lang w:val="en-CA"/>
        </w:rPr>
      </w:pPr>
      <w:r>
        <w:rPr>
          <w:rFonts w:ascii="Calibri" w:eastAsia="Calibri" w:hAnsi="Calibri"/>
          <w:color w:val="7F7F7F" w:themeColor="text1" w:themeTint="80"/>
          <w:sz w:val="22"/>
          <w:szCs w:val="22"/>
          <w:lang w:val="en-CA"/>
        </w:rPr>
        <w:t>Cover must contain security screw as extra protection from opening</w:t>
      </w:r>
    </w:p>
    <w:p w14:paraId="5BD0BCFD" w14:textId="77777777" w:rsidR="00342F94" w:rsidRDefault="00342F94" w:rsidP="00342F94">
      <w:pPr>
        <w:widowControl/>
        <w:numPr>
          <w:ilvl w:val="0"/>
          <w:numId w:val="30"/>
        </w:numPr>
        <w:autoSpaceDE w:val="0"/>
        <w:autoSpaceDN w:val="0"/>
        <w:snapToGrid w:val="0"/>
        <w:spacing w:before="159" w:after="120" w:line="254" w:lineRule="exact"/>
        <w:jc w:val="both"/>
        <w:rPr>
          <w:rFonts w:ascii="Calibri" w:eastAsia="Calibri" w:hAnsi="Calibri"/>
          <w:color w:val="7F7F7F" w:themeColor="text1" w:themeTint="80"/>
          <w:sz w:val="22"/>
          <w:szCs w:val="22"/>
          <w:lang w:val="en-CA"/>
        </w:rPr>
      </w:pPr>
      <w:r>
        <w:rPr>
          <w:rFonts w:ascii="Calibri" w:eastAsia="Calibri" w:hAnsi="Calibri"/>
          <w:color w:val="7F7F7F" w:themeColor="text1" w:themeTint="80"/>
          <w:sz w:val="22"/>
          <w:szCs w:val="22"/>
          <w:lang w:val="en-CA"/>
        </w:rPr>
        <w:t>Product shall be CE approved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51F496D2" w14:textId="47215465" w:rsidR="00171764" w:rsidRDefault="00171764" w:rsidP="00171764">
      <w:pPr>
        <w:jc w:val="both"/>
        <w:rPr>
          <w:color w:val="7F7F7F" w:themeColor="text1" w:themeTint="80"/>
        </w:rPr>
      </w:pPr>
    </w:p>
    <w:tbl>
      <w:tblPr>
        <w:tblStyle w:val="TableGrid5"/>
        <w:tblpPr w:vertAnchor="text" w:horzAnchor="margin" w:tblpY="219"/>
        <w:tblOverlap w:val="never"/>
        <w:tblW w:w="10910" w:type="dxa"/>
        <w:tblInd w:w="0" w:type="dxa"/>
        <w:tblCellMar>
          <w:top w:w="20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8415"/>
      </w:tblGrid>
      <w:tr w:rsidR="007F256C" w:rsidRPr="00843729" w14:paraId="318A5723" w14:textId="77777777" w:rsidTr="007F256C">
        <w:trPr>
          <w:trHeight w:val="33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232FB96E" w14:textId="77777777" w:rsidR="007F256C" w:rsidRPr="00342F94" w:rsidRDefault="007F256C" w:rsidP="007F256C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b/>
                <w:bCs/>
                <w:snapToGrid/>
                <w:sz w:val="22"/>
                <w:szCs w:val="22"/>
                <w:lang w:val="en-CA"/>
              </w:rPr>
            </w:pPr>
            <w:bookmarkStart w:id="0" w:name="_Hlk36704456"/>
            <w:bookmarkStart w:id="1" w:name="_GoBack"/>
            <w:bookmarkEnd w:id="1"/>
            <w:r w:rsidRPr="00342F94">
              <w:rPr>
                <w:rFonts w:asciiTheme="minorHAnsi" w:eastAsia="Myriad CAD" w:hAnsiTheme="minorHAnsi" w:cs="Myriad CAD"/>
                <w:b/>
                <w:bCs/>
                <w:snapToGrid/>
                <w:color w:val="FFFFFF" w:themeColor="background1"/>
                <w:sz w:val="22"/>
                <w:szCs w:val="22"/>
                <w:lang w:val="en-CA"/>
              </w:rPr>
              <w:t>SPECIFICATIONS</w:t>
            </w:r>
          </w:p>
        </w:tc>
        <w:tc>
          <w:tcPr>
            <w:tcW w:w="8415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78E9846E" w14:textId="77777777" w:rsidR="007F256C" w:rsidRPr="00843729" w:rsidRDefault="007F256C" w:rsidP="007F256C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</w:p>
        </w:tc>
      </w:tr>
      <w:tr w:rsidR="007F256C" w:rsidRPr="00843729" w14:paraId="00D60297" w14:textId="77777777" w:rsidTr="007F256C">
        <w:trPr>
          <w:trHeight w:val="21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33DB834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SENSOR TYPE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1D0583E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1000 Ω platinum RTD</w:t>
            </w:r>
          </w:p>
        </w:tc>
      </w:tr>
      <w:tr w:rsidR="007F256C" w:rsidRPr="00843729" w14:paraId="6E9FB72A" w14:textId="77777777" w:rsidTr="007F256C">
        <w:trPr>
          <w:trHeight w:val="212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D2E19F2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CA63081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±0.3°C (±0.54°F) @ 0°C (32°F)</w:t>
            </w:r>
          </w:p>
        </w:tc>
      </w:tr>
      <w:tr w:rsidR="007F256C" w:rsidRPr="00843729" w14:paraId="2F5ACA1E" w14:textId="77777777" w:rsidTr="007F256C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042B6CE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A6BA9B8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-40 to 100°C (-40 to 212°F)</w:t>
            </w:r>
          </w:p>
        </w:tc>
      </w:tr>
      <w:tr w:rsidR="007F256C" w:rsidRPr="00843729" w14:paraId="0A23F00B" w14:textId="77777777" w:rsidTr="007F256C">
        <w:trPr>
          <w:trHeight w:val="22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908B3AD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WIRE MATERIAL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DE1CA8A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PVC insulated, parallel bonded, 22 AWG</w:t>
            </w:r>
          </w:p>
        </w:tc>
      </w:tr>
      <w:tr w:rsidR="007F256C" w:rsidRPr="00843729" w14:paraId="270BB5E4" w14:textId="77777777" w:rsidTr="007F256C">
        <w:trPr>
          <w:trHeight w:val="22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FBC9CA8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PROBE MATERIAL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1D29786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</w:pPr>
            <w:r w:rsidRPr="00150AB2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Machined aluminum heat sink</w:t>
            </w:r>
          </w:p>
        </w:tc>
      </w:tr>
      <w:tr w:rsidR="007F256C" w:rsidRPr="00843729" w14:paraId="435CFE13" w14:textId="77777777" w:rsidTr="007F256C">
        <w:trPr>
          <w:trHeight w:val="22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74DA6E0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PROBE DIMENSIONS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90797F2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</w:pPr>
            <w:r w:rsidRPr="00150AB2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38.1mm x 12.7mm (1.5” x 0.5”)</w:t>
            </w:r>
          </w:p>
        </w:tc>
      </w:tr>
      <w:tr w:rsidR="007F256C" w:rsidRPr="00843729" w14:paraId="46921DC4" w14:textId="77777777" w:rsidTr="007F256C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18BEC9A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PIPE STRAP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000B7A5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25.4 cm (10”) stainless steel</w:t>
            </w:r>
          </w:p>
        </w:tc>
      </w:tr>
      <w:tr w:rsidR="007F256C" w:rsidRPr="00843729" w14:paraId="750A6E22" w14:textId="77777777" w:rsidTr="007F256C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E8CC676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OUTPUT SIGNAL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9A68A0A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4-20 mA current loop, 0-5 Vdc, or 0-10 Vdc (factory configured)</w:t>
            </w:r>
          </w:p>
        </w:tc>
      </w:tr>
      <w:tr w:rsidR="007F256C" w:rsidRPr="00843729" w14:paraId="758368DE" w14:textId="77777777" w:rsidTr="007F256C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C2FF9A7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TRANSMITTER ACCURACY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7893357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±0.1% of span, including linearity</w:t>
            </w:r>
          </w:p>
        </w:tc>
      </w:tr>
      <w:tr w:rsidR="007F256C" w:rsidRPr="00843729" w14:paraId="1B9DAB71" w14:textId="77777777" w:rsidTr="007F256C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D5B0BCD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OUTPUT DRIVE @ 24 VDC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8E09AC1" w14:textId="77777777" w:rsidR="007F256C" w:rsidRPr="00843729" w:rsidRDefault="007F256C" w:rsidP="007F256C">
            <w:pPr>
              <w:widowControl/>
              <w:spacing w:line="259" w:lineRule="auto"/>
              <w:ind w:right="2366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Current:</w:t>
            </w: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600 Ω maximum </w:t>
            </w:r>
            <w:r w:rsidRPr="00843729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Voltage:</w:t>
            </w: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10 KΩ minimum</w:t>
            </w:r>
          </w:p>
        </w:tc>
      </w:tr>
      <w:tr w:rsidR="007F256C" w:rsidRPr="00843729" w14:paraId="0298CC86" w14:textId="77777777" w:rsidTr="007F256C">
        <w:trPr>
          <w:trHeight w:val="52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AC6D2EA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POWER SUPPLY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8960BB7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 xml:space="preserve">0-5 Vdc: </w:t>
            </w: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10-35 Vdc or 10-28 Vdc</w:t>
            </w:r>
          </w:p>
          <w:p w14:paraId="7F4C2180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0-10 Vdc:</w:t>
            </w: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15-35 Vdc or 15-28 Vdc</w:t>
            </w:r>
          </w:p>
          <w:p w14:paraId="26AE2A48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4-20 mA:</w:t>
            </w: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15-35 Vdc (loop-powered) or 22-28 Vdc</w:t>
            </w:r>
          </w:p>
        </w:tc>
      </w:tr>
      <w:tr w:rsidR="007F256C" w:rsidRPr="00843729" w14:paraId="7AAB83A4" w14:textId="77777777" w:rsidTr="007F256C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AEAE548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CURRENT CONSUMPTION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06AC244" w14:textId="77777777" w:rsidR="007F256C" w:rsidRPr="00843729" w:rsidRDefault="007F256C" w:rsidP="007F256C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Current:</w:t>
            </w: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20 mA </w:t>
            </w:r>
            <w:r w:rsidRPr="00843729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Voltage:</w:t>
            </w: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5 mA</w:t>
            </w:r>
          </w:p>
        </w:tc>
      </w:tr>
      <w:tr w:rsidR="007F256C" w:rsidRPr="00843729" w14:paraId="5616679F" w14:textId="77777777" w:rsidTr="007F256C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0E61BB9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MAXIMUM CURRENT (VOLTAGE)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6C24679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5 mA nominal</w:t>
            </w:r>
          </w:p>
        </w:tc>
      </w:tr>
      <w:tr w:rsidR="007F256C" w:rsidRPr="00843729" w14:paraId="6AC396B4" w14:textId="77777777" w:rsidTr="007F256C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4922C88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MAXIMUM OUTPUT (VOLTAGE)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6C33B37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Limited to &lt;5.5 Vdc or 0-5 Vdc, &lt;10.5 for 0-10 Vdc</w:t>
            </w:r>
          </w:p>
        </w:tc>
      </w:tr>
      <w:tr w:rsidR="007F256C" w:rsidRPr="00843729" w14:paraId="5F9B58C3" w14:textId="77777777" w:rsidTr="007F256C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C795C8B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INPUT VOLTAGE EFFECT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6E02295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Negligible over specified operating range</w:t>
            </w:r>
          </w:p>
        </w:tc>
      </w:tr>
      <w:tr w:rsidR="007F256C" w:rsidRPr="00843729" w14:paraId="4A0B43B3" w14:textId="77777777" w:rsidTr="007F256C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5A9183D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PROTECTION CIRCUITRY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313CF7A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Reverse voltage protected and output limited</w:t>
            </w:r>
          </w:p>
        </w:tc>
      </w:tr>
      <w:tr w:rsidR="007F256C" w:rsidRPr="00843729" w14:paraId="3F43EE28" w14:textId="77777777" w:rsidTr="007F256C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D3115B3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AMBIENT OPERATING RANGE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F1A4E8A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-40 to 50°C (-40 to 122°F), 5 to 95 %RH non-condensing</w:t>
            </w:r>
          </w:p>
        </w:tc>
      </w:tr>
      <w:tr w:rsidR="007F256C" w:rsidRPr="00843729" w14:paraId="40616DB0" w14:textId="77777777" w:rsidTr="007F256C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C144F32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22F02C3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A:</w:t>
            </w: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ABS, UL94-V0, IP65 (NEMA 4X)</w:t>
            </w:r>
          </w:p>
          <w:p w14:paraId="0089C544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E:</w:t>
            </w: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Same as A, with thread adapter (1/2” NPT to M16), and cable gland fitting</w:t>
            </w:r>
          </w:p>
        </w:tc>
      </w:tr>
      <w:tr w:rsidR="007F256C" w:rsidRPr="00843729" w14:paraId="3072ED96" w14:textId="77777777" w:rsidTr="007F256C">
        <w:trPr>
          <w:trHeight w:val="216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4B9C450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TERMINATION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5AD3264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7F256C" w:rsidRPr="00843729" w14:paraId="16112228" w14:textId="77777777" w:rsidTr="007F256C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411635E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APPROVALS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A1DD8C0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CE</w:t>
            </w:r>
          </w:p>
        </w:tc>
      </w:tr>
      <w:tr w:rsidR="007F256C" w:rsidRPr="00843729" w14:paraId="756DD623" w14:textId="77777777" w:rsidTr="007F256C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A581B4B" w14:textId="77777777" w:rsidR="007F256C" w:rsidRPr="00843729" w:rsidRDefault="007F256C" w:rsidP="007F256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11BE005" w14:textId="77777777" w:rsidR="007F256C" w:rsidRPr="00843729" w:rsidRDefault="007F256C" w:rsidP="007F256C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843729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Canada</w:t>
            </w:r>
          </w:p>
        </w:tc>
      </w:tr>
      <w:bookmarkEnd w:id="0"/>
    </w:tbl>
    <w:p w14:paraId="1469D84A" w14:textId="3B9B461B" w:rsidR="0080293A" w:rsidRDefault="0080293A" w:rsidP="007F256C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sectPr w:rsidR="0080293A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198A3" w14:textId="77777777" w:rsidR="005B2E44" w:rsidRDefault="005B2E44" w:rsidP="00546523">
      <w:r>
        <w:separator/>
      </w:r>
    </w:p>
  </w:endnote>
  <w:endnote w:type="continuationSeparator" w:id="0">
    <w:p w14:paraId="4F8481DC" w14:textId="77777777" w:rsidR="005B2E44" w:rsidRDefault="005B2E44" w:rsidP="00546523">
      <w:r>
        <w:continuationSeparator/>
      </w:r>
    </w:p>
  </w:endnote>
  <w:endnote w:type="continuationNotice" w:id="1">
    <w:p w14:paraId="49B67987" w14:textId="77777777" w:rsidR="005B2E44" w:rsidRDefault="005B2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340A9FF0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EB66C2">
                            <w:rPr>
                              <w:color w:val="FFFFFF" w:themeColor="background1"/>
                              <w:sz w:val="16"/>
                            </w:rPr>
                            <w:t>X</w:t>
                          </w:r>
                          <w:r w:rsidR="00843729">
                            <w:rPr>
                              <w:color w:val="FFFFFF" w:themeColor="background1"/>
                              <w:sz w:val="16"/>
                            </w:rPr>
                            <w:t>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340A9FF0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EB66C2">
                      <w:rPr>
                        <w:color w:val="FFFFFF" w:themeColor="background1"/>
                        <w:sz w:val="16"/>
                      </w:rPr>
                      <w:t>X</w:t>
                    </w:r>
                    <w:r w:rsidR="00843729">
                      <w:rPr>
                        <w:color w:val="FFFFFF" w:themeColor="background1"/>
                        <w:sz w:val="16"/>
                      </w:rPr>
                      <w:t>SO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A52A3" w14:textId="77777777" w:rsidR="005B2E44" w:rsidRDefault="005B2E44" w:rsidP="00546523">
      <w:r>
        <w:separator/>
      </w:r>
    </w:p>
  </w:footnote>
  <w:footnote w:type="continuationSeparator" w:id="0">
    <w:p w14:paraId="4C4C625D" w14:textId="77777777" w:rsidR="005B2E44" w:rsidRDefault="005B2E44" w:rsidP="00546523">
      <w:r>
        <w:continuationSeparator/>
      </w:r>
    </w:p>
  </w:footnote>
  <w:footnote w:type="continuationNotice" w:id="1">
    <w:p w14:paraId="56DDD03F" w14:textId="77777777" w:rsidR="005B2E44" w:rsidRDefault="005B2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46248"/>
    <w:multiLevelType w:val="hybridMultilevel"/>
    <w:tmpl w:val="7FF6912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7D497C"/>
    <w:multiLevelType w:val="hybridMultilevel"/>
    <w:tmpl w:val="78023E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C92CEC"/>
    <w:multiLevelType w:val="hybridMultilevel"/>
    <w:tmpl w:val="FD14B46C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27"/>
  </w:num>
  <w:num w:numId="5">
    <w:abstractNumId w:val="16"/>
  </w:num>
  <w:num w:numId="6">
    <w:abstractNumId w:val="13"/>
  </w:num>
  <w:num w:numId="7">
    <w:abstractNumId w:val="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25"/>
  </w:num>
  <w:num w:numId="13">
    <w:abstractNumId w:val="14"/>
  </w:num>
  <w:num w:numId="14">
    <w:abstractNumId w:val="7"/>
  </w:num>
  <w:num w:numId="15">
    <w:abstractNumId w:val="18"/>
  </w:num>
  <w:num w:numId="16">
    <w:abstractNumId w:val="21"/>
  </w:num>
  <w:num w:numId="17">
    <w:abstractNumId w:val="22"/>
  </w:num>
  <w:num w:numId="18">
    <w:abstractNumId w:val="4"/>
  </w:num>
  <w:num w:numId="19">
    <w:abstractNumId w:val="23"/>
  </w:num>
  <w:num w:numId="20">
    <w:abstractNumId w:val="5"/>
  </w:num>
  <w:num w:numId="21">
    <w:abstractNumId w:val="2"/>
  </w:num>
  <w:num w:numId="22">
    <w:abstractNumId w:val="29"/>
  </w:num>
  <w:num w:numId="23">
    <w:abstractNumId w:val="24"/>
  </w:num>
  <w:num w:numId="24">
    <w:abstractNumId w:val="15"/>
  </w:num>
  <w:num w:numId="25">
    <w:abstractNumId w:val="12"/>
  </w:num>
  <w:num w:numId="26">
    <w:abstractNumId w:val="28"/>
  </w:num>
  <w:num w:numId="27">
    <w:abstractNumId w:val="26"/>
  </w:num>
  <w:num w:numId="28">
    <w:abstractNumId w:val="9"/>
  </w:num>
  <w:num w:numId="29">
    <w:abstractNumId w:val="3"/>
  </w:num>
  <w:num w:numId="30">
    <w:abstractNumId w:val="11"/>
  </w:num>
  <w:num w:numId="31">
    <w:abstractNumId w:val="11"/>
  </w:num>
  <w:num w:numId="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sFAJ/iNAAtAAAA"/>
  </w:docVars>
  <w:rsids>
    <w:rsidRoot w:val="00546523"/>
    <w:rsid w:val="00002EAA"/>
    <w:rsid w:val="00003322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3C1B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0A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20CB"/>
    <w:rsid w:val="001B6E7C"/>
    <w:rsid w:val="001B7DC5"/>
    <w:rsid w:val="001C4528"/>
    <w:rsid w:val="001C7C3D"/>
    <w:rsid w:val="001D3018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62D7"/>
    <w:rsid w:val="00261B50"/>
    <w:rsid w:val="00293EE6"/>
    <w:rsid w:val="00294440"/>
    <w:rsid w:val="002A21AD"/>
    <w:rsid w:val="002A5CF2"/>
    <w:rsid w:val="002B5A27"/>
    <w:rsid w:val="002C0077"/>
    <w:rsid w:val="002C0638"/>
    <w:rsid w:val="002C1226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2F94"/>
    <w:rsid w:val="003469AA"/>
    <w:rsid w:val="003472FA"/>
    <w:rsid w:val="00370A58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049C"/>
    <w:rsid w:val="0057543D"/>
    <w:rsid w:val="00585132"/>
    <w:rsid w:val="00593B9D"/>
    <w:rsid w:val="005A19BE"/>
    <w:rsid w:val="005A2894"/>
    <w:rsid w:val="005B0327"/>
    <w:rsid w:val="005B104B"/>
    <w:rsid w:val="005B2E44"/>
    <w:rsid w:val="005B786D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9239E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A5EDD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256C"/>
    <w:rsid w:val="007F6BC5"/>
    <w:rsid w:val="00800726"/>
    <w:rsid w:val="0080293A"/>
    <w:rsid w:val="00805D83"/>
    <w:rsid w:val="00805E8D"/>
    <w:rsid w:val="00816589"/>
    <w:rsid w:val="00816D0C"/>
    <w:rsid w:val="00837E5F"/>
    <w:rsid w:val="00843729"/>
    <w:rsid w:val="008462F9"/>
    <w:rsid w:val="00846E68"/>
    <w:rsid w:val="00863865"/>
    <w:rsid w:val="00870AD8"/>
    <w:rsid w:val="00873BCA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1318"/>
    <w:rsid w:val="009F66E4"/>
    <w:rsid w:val="009F74DA"/>
    <w:rsid w:val="009F7BCD"/>
    <w:rsid w:val="00A01C2D"/>
    <w:rsid w:val="00A035AE"/>
    <w:rsid w:val="00A07814"/>
    <w:rsid w:val="00A14A00"/>
    <w:rsid w:val="00A2069C"/>
    <w:rsid w:val="00A2276B"/>
    <w:rsid w:val="00A3284D"/>
    <w:rsid w:val="00A51336"/>
    <w:rsid w:val="00A534DE"/>
    <w:rsid w:val="00A54399"/>
    <w:rsid w:val="00A670D7"/>
    <w:rsid w:val="00A82471"/>
    <w:rsid w:val="00A836FE"/>
    <w:rsid w:val="00A84A53"/>
    <w:rsid w:val="00AA455C"/>
    <w:rsid w:val="00AB7C3F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F10E5"/>
    <w:rsid w:val="00BF44C8"/>
    <w:rsid w:val="00C02023"/>
    <w:rsid w:val="00C02C16"/>
    <w:rsid w:val="00C157C5"/>
    <w:rsid w:val="00C205E7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2A6A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E6561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B66C2"/>
    <w:rsid w:val="00ED1337"/>
    <w:rsid w:val="00ED1ACC"/>
    <w:rsid w:val="00ED2090"/>
    <w:rsid w:val="00ED3295"/>
    <w:rsid w:val="00EE30CA"/>
    <w:rsid w:val="00EE62AF"/>
    <w:rsid w:val="00EE6988"/>
    <w:rsid w:val="00EF4FD3"/>
    <w:rsid w:val="00F06615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0293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34DE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69239E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43729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13</cp:revision>
  <cp:lastPrinted>2019-12-14T14:35:00Z</cp:lastPrinted>
  <dcterms:created xsi:type="dcterms:W3CDTF">2020-04-02T10:15:00Z</dcterms:created>
  <dcterms:modified xsi:type="dcterms:W3CDTF">2020-08-12T10:33:00Z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ES-TXSO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