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sz w:val="25"/>
        </w:rPr>
      </w:pPr>
    </w:p>
    <w:p>
      <w:pPr>
        <w:pStyle w:val="BodyText"/>
        <w:ind w:left="100"/>
        <w:rPr>
          <w:rFonts w:ascii="Times New Roman"/>
        </w:rPr>
      </w:pPr>
      <w:r>
        <w:rPr>
          <w:rFonts w:ascii="Times New Roman"/>
        </w:rPr>
        <w:drawing>
          <wp:inline distT="0" distB="0" distL="0" distR="0">
            <wp:extent cx="2477369" cy="4175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477369" cy="417575"/>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spacing w:before="2"/>
        <w:rPr>
          <w:rFonts w:ascii="Times New Roman"/>
          <w:sz w:val="21"/>
        </w:rPr>
      </w:pPr>
    </w:p>
    <w:p>
      <w:pPr>
        <w:spacing w:before="44"/>
        <w:ind w:left="220" w:right="0" w:firstLine="0"/>
        <w:jc w:val="left"/>
        <w:rPr>
          <w:sz w:val="28"/>
        </w:rPr>
      </w:pPr>
      <w:r>
        <w:rPr>
          <w:color w:val="017563"/>
          <w:w w:val="105"/>
          <w:sz w:val="28"/>
        </w:rPr>
        <w:t>PAINTABLE BUTTON STYLE TEMPERATURE SENSOR</w:t>
      </w:r>
    </w:p>
    <w:p>
      <w:pPr>
        <w:pStyle w:val="Heading1"/>
        <w:spacing w:before="23"/>
        <w:ind w:left="220" w:firstLine="0"/>
      </w:pPr>
      <w:r>
        <w:rPr>
          <w:color w:val="7D7D7D"/>
        </w:rPr>
        <w:t>TSBTA Series</w:t>
      </w:r>
    </w:p>
    <w:p>
      <w:pPr>
        <w:pStyle w:val="BodyText"/>
        <w:spacing w:before="5"/>
        <w:rPr>
          <w:sz w:val="24"/>
        </w:rPr>
      </w:pPr>
    </w:p>
    <w:p>
      <w:pPr>
        <w:pStyle w:val="BodyText"/>
        <w:ind w:left="220" w:right="397"/>
      </w:pPr>
      <w:r>
        <w:rPr>
          <w:color w:val="585858"/>
        </w:rPr>
        <w:t>The Paintable Button Style Flush-Mount Thermistor and RTD Wall Sensors provide precision room temperature sensing for building automation systems. The TSBTA Series drastically decreases the footprint of the traditional box sensor so that it becomes virtually invisible once it is painted to match the decor. The active sensing element is made of a highly stable, precision thermistor material or platinum RTD. This design is intended for interior use only is bonded to a plastic paintable housing.</w:t>
      </w:r>
    </w:p>
    <w:p>
      <w:pPr>
        <w:pStyle w:val="Heading1"/>
        <w:spacing w:before="151"/>
        <w:ind w:left="220" w:firstLine="0"/>
      </w:pPr>
      <w:r>
        <w:rPr>
          <w:color w:val="017463"/>
        </w:rPr>
        <w:t>PRODUCT HIGHLIGHTS</w:t>
      </w:r>
    </w:p>
    <w:p>
      <w:pPr>
        <w:pStyle w:val="BodyText"/>
        <w:spacing w:before="4"/>
        <w:rPr>
          <w:sz w:val="21"/>
        </w:rPr>
      </w:pPr>
    </w:p>
    <w:p>
      <w:pPr>
        <w:pStyle w:val="ListParagraph"/>
        <w:numPr>
          <w:ilvl w:val="0"/>
          <w:numId w:val="1"/>
        </w:numPr>
        <w:tabs>
          <w:tab w:pos="820" w:val="left" w:leader="none"/>
          <w:tab w:pos="821" w:val="left" w:leader="none"/>
        </w:tabs>
        <w:spacing w:line="240" w:lineRule="auto" w:before="0" w:after="0"/>
        <w:ind w:left="820" w:right="0" w:hanging="361"/>
        <w:jc w:val="left"/>
        <w:rPr>
          <w:sz w:val="22"/>
        </w:rPr>
      </w:pPr>
      <w:r>
        <w:rPr>
          <w:color w:val="585858"/>
          <w:sz w:val="22"/>
        </w:rPr>
        <w:t>Paintable housing for easily concealed</w:t>
      </w:r>
      <w:r>
        <w:rPr>
          <w:color w:val="585858"/>
          <w:spacing w:val="-6"/>
          <w:sz w:val="22"/>
        </w:rPr>
        <w:t> </w:t>
      </w:r>
      <w:r>
        <w:rPr>
          <w:color w:val="585858"/>
          <w:sz w:val="22"/>
        </w:rPr>
        <w:t>sensor</w:t>
      </w:r>
    </w:p>
    <w:p>
      <w:pPr>
        <w:pStyle w:val="ListParagraph"/>
        <w:numPr>
          <w:ilvl w:val="0"/>
          <w:numId w:val="1"/>
        </w:numPr>
        <w:tabs>
          <w:tab w:pos="820" w:val="left" w:leader="none"/>
          <w:tab w:pos="821" w:val="left" w:leader="none"/>
        </w:tabs>
        <w:spacing w:line="240" w:lineRule="auto" w:before="20" w:after="0"/>
        <w:ind w:left="820" w:right="0" w:hanging="361"/>
        <w:jc w:val="left"/>
        <w:rPr>
          <w:sz w:val="22"/>
        </w:rPr>
      </w:pPr>
      <w:r>
        <w:rPr>
          <w:color w:val="585858"/>
          <w:sz w:val="22"/>
        </w:rPr>
        <w:t>Various wire types and</w:t>
      </w:r>
      <w:r>
        <w:rPr>
          <w:color w:val="585858"/>
          <w:spacing w:val="-3"/>
          <w:sz w:val="22"/>
        </w:rPr>
        <w:t> </w:t>
      </w:r>
      <w:r>
        <w:rPr>
          <w:color w:val="585858"/>
          <w:sz w:val="22"/>
        </w:rPr>
        <w:t>lengths</w:t>
      </w:r>
    </w:p>
    <w:p>
      <w:pPr>
        <w:pStyle w:val="ListParagraph"/>
        <w:numPr>
          <w:ilvl w:val="0"/>
          <w:numId w:val="1"/>
        </w:numPr>
        <w:tabs>
          <w:tab w:pos="820" w:val="left" w:leader="none"/>
          <w:tab w:pos="821" w:val="left" w:leader="none"/>
        </w:tabs>
        <w:spacing w:line="240" w:lineRule="auto" w:before="22" w:after="0"/>
        <w:ind w:left="820" w:right="0" w:hanging="361"/>
        <w:jc w:val="left"/>
        <w:rPr>
          <w:sz w:val="22"/>
        </w:rPr>
      </w:pPr>
      <w:r>
        <w:rPr>
          <w:color w:val="585858"/>
          <w:sz w:val="22"/>
        </w:rPr>
        <w:t>Various sensor</w:t>
      </w:r>
      <w:r>
        <w:rPr>
          <w:color w:val="585858"/>
          <w:spacing w:val="-3"/>
          <w:sz w:val="22"/>
        </w:rPr>
        <w:t> </w:t>
      </w:r>
      <w:r>
        <w:rPr>
          <w:color w:val="585858"/>
          <w:sz w:val="22"/>
        </w:rPr>
        <w:t>types</w:t>
      </w:r>
    </w:p>
    <w:p>
      <w:pPr>
        <w:spacing w:before="180"/>
        <w:ind w:left="100" w:right="0" w:firstLine="0"/>
        <w:jc w:val="left"/>
        <w:rPr>
          <w:sz w:val="24"/>
        </w:rPr>
      </w:pPr>
      <w:r>
        <w:rPr>
          <w:color w:val="017463"/>
          <w:sz w:val="24"/>
        </w:rPr>
        <w:t>SPECIFICATIONS</w:t>
      </w:r>
    </w:p>
    <w:p>
      <w:pPr>
        <w:pStyle w:val="BodyText"/>
        <w:spacing w:before="2"/>
        <w:rPr>
          <w:sz w:val="15"/>
        </w:rPr>
      </w:pPr>
    </w:p>
    <w:tbl>
      <w:tblPr>
        <w:tblW w:w="0" w:type="auto"/>
        <w:jc w:val="left"/>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top w:w="0" w:type="dxa"/>
          <w:left w:w="0" w:type="dxa"/>
          <w:bottom w:w="0" w:type="dxa"/>
          <w:right w:w="0" w:type="dxa"/>
        </w:tblCellMar>
        <w:tblLook w:val="01E0"/>
      </w:tblPr>
      <w:tblGrid>
        <w:gridCol w:w="4968"/>
        <w:gridCol w:w="5822"/>
      </w:tblGrid>
      <w:tr>
        <w:trPr>
          <w:trHeight w:val="266" w:hRule="atLeast"/>
        </w:trPr>
        <w:tc>
          <w:tcPr>
            <w:tcW w:w="4968" w:type="dxa"/>
            <w:shd w:val="clear" w:color="auto" w:fill="575757"/>
          </w:tcPr>
          <w:p>
            <w:pPr>
              <w:pStyle w:val="TableParagraph"/>
              <w:spacing w:line="246" w:lineRule="exact"/>
              <w:ind w:left="112"/>
              <w:rPr>
                <w:rFonts w:ascii="Calibri"/>
                <w:sz w:val="22"/>
              </w:rPr>
            </w:pPr>
            <w:r>
              <w:rPr>
                <w:rFonts w:ascii="Calibri"/>
                <w:color w:val="FFFFFF"/>
                <w:sz w:val="22"/>
              </w:rPr>
              <w:t>DESCRIPTION</w:t>
            </w:r>
          </w:p>
        </w:tc>
        <w:tc>
          <w:tcPr>
            <w:tcW w:w="5822" w:type="dxa"/>
            <w:shd w:val="clear" w:color="auto" w:fill="575757"/>
          </w:tcPr>
          <w:p>
            <w:pPr>
              <w:pStyle w:val="TableParagraph"/>
              <w:spacing w:line="246" w:lineRule="exact"/>
              <w:ind w:left="112"/>
              <w:rPr>
                <w:rFonts w:ascii="Calibri"/>
                <w:sz w:val="22"/>
              </w:rPr>
            </w:pPr>
            <w:r>
              <w:rPr>
                <w:rFonts w:ascii="Calibri"/>
                <w:color w:val="FFFFFF"/>
                <w:sz w:val="22"/>
              </w:rPr>
              <w:t>ENGINEERING SPEC</w:t>
            </w:r>
          </w:p>
        </w:tc>
      </w:tr>
      <w:tr>
        <w:trPr>
          <w:trHeight w:val="270" w:hRule="atLeast"/>
        </w:trPr>
        <w:tc>
          <w:tcPr>
            <w:tcW w:w="4968" w:type="dxa"/>
          </w:tcPr>
          <w:p>
            <w:pPr>
              <w:pStyle w:val="TableParagraph"/>
              <w:spacing w:line="251" w:lineRule="exact"/>
              <w:ind w:left="112"/>
              <w:rPr>
                <w:rFonts w:ascii="Calibri"/>
                <w:sz w:val="22"/>
              </w:rPr>
            </w:pPr>
            <w:r>
              <w:rPr>
                <w:rFonts w:ascii="Calibri"/>
                <w:sz w:val="22"/>
              </w:rPr>
              <w:t>SENSOR TYPE</w:t>
            </w:r>
          </w:p>
        </w:tc>
        <w:tc>
          <w:tcPr>
            <w:tcW w:w="5822" w:type="dxa"/>
          </w:tcPr>
          <w:p>
            <w:pPr>
              <w:pStyle w:val="TableParagraph"/>
              <w:spacing w:line="249" w:lineRule="exact" w:before="1"/>
              <w:rPr>
                <w:rFonts w:ascii="Calibri"/>
                <w:sz w:val="22"/>
              </w:rPr>
            </w:pPr>
            <w:r>
              <w:rPr>
                <w:rFonts w:ascii="Calibri"/>
                <w:sz w:val="22"/>
              </w:rPr>
              <w:t>See below</w:t>
            </w:r>
          </w:p>
        </w:tc>
      </w:tr>
      <w:tr>
        <w:trPr>
          <w:trHeight w:val="268" w:hRule="atLeast"/>
        </w:trPr>
        <w:tc>
          <w:tcPr>
            <w:tcW w:w="4968" w:type="dxa"/>
            <w:shd w:val="clear" w:color="auto" w:fill="E7E6E6"/>
          </w:tcPr>
          <w:p>
            <w:pPr>
              <w:pStyle w:val="TableParagraph"/>
              <w:spacing w:line="248" w:lineRule="exact"/>
              <w:ind w:left="112"/>
              <w:rPr>
                <w:rFonts w:ascii="Calibri"/>
                <w:sz w:val="22"/>
              </w:rPr>
            </w:pPr>
            <w:r>
              <w:rPr>
                <w:rFonts w:ascii="Calibri"/>
                <w:sz w:val="22"/>
              </w:rPr>
              <w:t>SENSOR ACCURACY</w:t>
            </w:r>
          </w:p>
        </w:tc>
        <w:tc>
          <w:tcPr>
            <w:tcW w:w="5822" w:type="dxa"/>
            <w:shd w:val="clear" w:color="auto" w:fill="E7E6E6"/>
          </w:tcPr>
          <w:p>
            <w:pPr>
              <w:pStyle w:val="TableParagraph"/>
              <w:spacing w:line="248" w:lineRule="exact"/>
              <w:rPr>
                <w:rFonts w:ascii="Calibri"/>
                <w:sz w:val="22"/>
              </w:rPr>
            </w:pPr>
            <w:r>
              <w:rPr>
                <w:rFonts w:ascii="Calibri"/>
                <w:sz w:val="22"/>
              </w:rPr>
              <w:t>See below</w:t>
            </w:r>
          </w:p>
        </w:tc>
      </w:tr>
      <w:tr>
        <w:trPr>
          <w:trHeight w:val="803" w:hRule="atLeast"/>
        </w:trPr>
        <w:tc>
          <w:tcPr>
            <w:tcW w:w="4968" w:type="dxa"/>
          </w:tcPr>
          <w:p>
            <w:pPr>
              <w:pStyle w:val="TableParagraph"/>
              <w:spacing w:line="258" w:lineRule="exact"/>
              <w:ind w:left="112"/>
              <w:rPr>
                <w:rFonts w:ascii="Calibri"/>
                <w:sz w:val="22"/>
              </w:rPr>
            </w:pPr>
            <w:r>
              <w:rPr>
                <w:rFonts w:ascii="Calibri"/>
                <w:sz w:val="22"/>
              </w:rPr>
              <w:t>WIRE MATERIAL</w:t>
            </w:r>
          </w:p>
        </w:tc>
        <w:tc>
          <w:tcPr>
            <w:tcW w:w="5822" w:type="dxa"/>
          </w:tcPr>
          <w:p>
            <w:pPr>
              <w:pStyle w:val="TableParagraph"/>
              <w:spacing w:line="268" w:lineRule="exact"/>
              <w:rPr>
                <w:rFonts w:ascii="Calibri" w:hAnsi="Calibri"/>
                <w:sz w:val="22"/>
              </w:rPr>
            </w:pPr>
            <w:r>
              <w:rPr>
                <w:rFonts w:ascii="Calibri" w:hAnsi="Calibri"/>
                <w:sz w:val="22"/>
              </w:rPr>
              <w:t>ZW: PVC insulated, parallel bonded, 22 AWG (FT-4 for 100Ω</w:t>
            </w:r>
          </w:p>
          <w:p>
            <w:pPr>
              <w:pStyle w:val="TableParagraph"/>
              <w:spacing w:line="267" w:lineRule="exact"/>
              <w:rPr>
                <w:rFonts w:ascii="Calibri"/>
                <w:sz w:val="22"/>
              </w:rPr>
            </w:pPr>
            <w:r>
              <w:rPr>
                <w:rFonts w:ascii="Calibri"/>
                <w:sz w:val="22"/>
              </w:rPr>
              <w:t>Platinum</w:t>
            </w:r>
          </w:p>
          <w:p>
            <w:pPr>
              <w:pStyle w:val="TableParagraph"/>
              <w:spacing w:line="248" w:lineRule="exact"/>
              <w:rPr>
                <w:rFonts w:ascii="Calibri"/>
                <w:sz w:val="22"/>
              </w:rPr>
            </w:pPr>
            <w:r>
              <w:rPr>
                <w:rFonts w:ascii="Calibri"/>
                <w:sz w:val="22"/>
              </w:rPr>
              <w:t>FT: Plenum rated FT-6</w:t>
            </w:r>
          </w:p>
        </w:tc>
      </w:tr>
      <w:tr>
        <w:trPr>
          <w:trHeight w:val="537" w:hRule="atLeast"/>
        </w:trPr>
        <w:tc>
          <w:tcPr>
            <w:tcW w:w="4968" w:type="dxa"/>
            <w:shd w:val="clear" w:color="auto" w:fill="E7E6E6"/>
          </w:tcPr>
          <w:p>
            <w:pPr>
              <w:pStyle w:val="TableParagraph"/>
              <w:spacing w:line="260" w:lineRule="exact"/>
              <w:ind w:left="112"/>
              <w:rPr>
                <w:rFonts w:ascii="Calibri"/>
                <w:sz w:val="22"/>
              </w:rPr>
            </w:pPr>
            <w:r>
              <w:rPr>
                <w:rFonts w:ascii="Calibri"/>
                <w:sz w:val="22"/>
              </w:rPr>
              <w:t>WIRE LENGTH</w:t>
            </w:r>
          </w:p>
        </w:tc>
        <w:tc>
          <w:tcPr>
            <w:tcW w:w="5822" w:type="dxa"/>
            <w:shd w:val="clear" w:color="auto" w:fill="E7E6E6"/>
          </w:tcPr>
          <w:p>
            <w:pPr>
              <w:pStyle w:val="TableParagraph"/>
              <w:spacing w:line="267" w:lineRule="exact" w:before="1"/>
              <w:rPr>
                <w:rFonts w:ascii="Calibri" w:hAnsi="Calibri"/>
                <w:sz w:val="22"/>
              </w:rPr>
            </w:pPr>
            <w:r>
              <w:rPr>
                <w:rFonts w:ascii="Calibri" w:hAnsi="Calibri"/>
                <w:sz w:val="22"/>
              </w:rPr>
              <w:t>ZW: 1.05m (5’)</w:t>
            </w:r>
          </w:p>
          <w:p>
            <w:pPr>
              <w:pStyle w:val="TableParagraph"/>
              <w:spacing w:line="248" w:lineRule="exact"/>
              <w:rPr>
                <w:rFonts w:ascii="Calibri" w:hAnsi="Calibri"/>
                <w:sz w:val="22"/>
              </w:rPr>
            </w:pPr>
            <w:r>
              <w:rPr>
                <w:rFonts w:ascii="Calibri" w:hAnsi="Calibri"/>
                <w:sz w:val="22"/>
              </w:rPr>
              <w:t>FT: 3m (10’)</w:t>
            </w:r>
          </w:p>
        </w:tc>
      </w:tr>
      <w:tr>
        <w:trPr>
          <w:trHeight w:val="270" w:hRule="atLeast"/>
        </w:trPr>
        <w:tc>
          <w:tcPr>
            <w:tcW w:w="4968" w:type="dxa"/>
          </w:tcPr>
          <w:p>
            <w:pPr>
              <w:pStyle w:val="TableParagraph"/>
              <w:spacing w:line="251" w:lineRule="exact"/>
              <w:ind w:left="112"/>
              <w:rPr>
                <w:rFonts w:ascii="Calibri"/>
                <w:sz w:val="22"/>
              </w:rPr>
            </w:pPr>
            <w:r>
              <w:rPr>
                <w:rFonts w:ascii="Calibri"/>
                <w:sz w:val="22"/>
              </w:rPr>
              <w:t>WIRING TERMINATION</w:t>
            </w:r>
          </w:p>
        </w:tc>
        <w:tc>
          <w:tcPr>
            <w:tcW w:w="5822" w:type="dxa"/>
          </w:tcPr>
          <w:p>
            <w:pPr>
              <w:pStyle w:val="TableParagraph"/>
              <w:spacing w:line="249" w:lineRule="exact" w:before="1"/>
              <w:rPr>
                <w:rFonts w:ascii="Calibri"/>
                <w:sz w:val="22"/>
              </w:rPr>
            </w:pPr>
            <w:r>
              <w:rPr>
                <w:rFonts w:ascii="Calibri"/>
                <w:sz w:val="22"/>
              </w:rPr>
              <w:t>Pre-stripped pigtails</w:t>
            </w:r>
          </w:p>
        </w:tc>
      </w:tr>
      <w:tr>
        <w:trPr>
          <w:trHeight w:val="268" w:hRule="atLeast"/>
        </w:trPr>
        <w:tc>
          <w:tcPr>
            <w:tcW w:w="4968" w:type="dxa"/>
            <w:shd w:val="clear" w:color="auto" w:fill="E7E6E6"/>
          </w:tcPr>
          <w:p>
            <w:pPr>
              <w:pStyle w:val="TableParagraph"/>
              <w:spacing w:line="248" w:lineRule="exact"/>
              <w:ind w:left="112"/>
              <w:rPr>
                <w:rFonts w:ascii="Calibri"/>
                <w:sz w:val="22"/>
              </w:rPr>
            </w:pPr>
            <w:r>
              <w:rPr>
                <w:rFonts w:ascii="Calibri"/>
                <w:sz w:val="22"/>
              </w:rPr>
              <w:t>TEMPERATURE RANGE</w:t>
            </w:r>
          </w:p>
        </w:tc>
        <w:tc>
          <w:tcPr>
            <w:tcW w:w="5822" w:type="dxa"/>
            <w:shd w:val="clear" w:color="auto" w:fill="E7E6E6"/>
          </w:tcPr>
          <w:p>
            <w:pPr>
              <w:pStyle w:val="TableParagraph"/>
              <w:spacing w:line="248" w:lineRule="exact"/>
              <w:rPr>
                <w:rFonts w:ascii="Calibri" w:hAnsi="Calibri"/>
                <w:sz w:val="22"/>
              </w:rPr>
            </w:pPr>
            <w:r>
              <w:rPr>
                <w:rFonts w:ascii="Calibri" w:hAnsi="Calibri"/>
                <w:sz w:val="22"/>
              </w:rPr>
              <w:t>-40 to 60°C (-40 to 140°F)</w:t>
            </w:r>
          </w:p>
        </w:tc>
      </w:tr>
      <w:tr>
        <w:trPr>
          <w:trHeight w:val="268" w:hRule="atLeast"/>
        </w:trPr>
        <w:tc>
          <w:tcPr>
            <w:tcW w:w="4968" w:type="dxa"/>
          </w:tcPr>
          <w:p>
            <w:pPr>
              <w:pStyle w:val="TableParagraph"/>
              <w:spacing w:line="248" w:lineRule="exact"/>
              <w:ind w:left="112"/>
              <w:rPr>
                <w:rFonts w:ascii="Calibri"/>
                <w:sz w:val="22"/>
              </w:rPr>
            </w:pPr>
            <w:r>
              <w:rPr>
                <w:rFonts w:ascii="Calibri"/>
                <w:sz w:val="22"/>
              </w:rPr>
              <w:t>MOUNTING</w:t>
            </w:r>
          </w:p>
        </w:tc>
        <w:tc>
          <w:tcPr>
            <w:tcW w:w="5822" w:type="dxa"/>
          </w:tcPr>
          <w:p>
            <w:pPr>
              <w:pStyle w:val="TableParagraph"/>
              <w:spacing w:line="248" w:lineRule="exact"/>
              <w:rPr>
                <w:rFonts w:ascii="Calibri"/>
                <w:sz w:val="22"/>
              </w:rPr>
            </w:pPr>
            <w:r>
              <w:rPr>
                <w:rFonts w:ascii="Calibri"/>
                <w:sz w:val="22"/>
              </w:rPr>
              <w:t>Directly to drywall, flush mount</w:t>
            </w:r>
          </w:p>
        </w:tc>
      </w:tr>
      <w:tr>
        <w:trPr>
          <w:trHeight w:val="268" w:hRule="atLeast"/>
        </w:trPr>
        <w:tc>
          <w:tcPr>
            <w:tcW w:w="4968" w:type="dxa"/>
            <w:shd w:val="clear" w:color="auto" w:fill="E7E6E6"/>
          </w:tcPr>
          <w:p>
            <w:pPr>
              <w:pStyle w:val="TableParagraph"/>
              <w:spacing w:line="248" w:lineRule="exact"/>
              <w:ind w:left="112"/>
              <w:rPr>
                <w:rFonts w:ascii="Calibri"/>
                <w:sz w:val="22"/>
              </w:rPr>
            </w:pPr>
            <w:r>
              <w:rPr>
                <w:rFonts w:ascii="Calibri"/>
                <w:sz w:val="22"/>
              </w:rPr>
              <w:t>ENCLOSURE RATING</w:t>
            </w:r>
          </w:p>
        </w:tc>
        <w:tc>
          <w:tcPr>
            <w:tcW w:w="5822" w:type="dxa"/>
            <w:shd w:val="clear" w:color="auto" w:fill="E7E6E6"/>
          </w:tcPr>
          <w:p>
            <w:pPr>
              <w:pStyle w:val="TableParagraph"/>
              <w:spacing w:line="248" w:lineRule="exact"/>
              <w:rPr>
                <w:rFonts w:ascii="Calibri"/>
                <w:sz w:val="22"/>
              </w:rPr>
            </w:pPr>
            <w:r>
              <w:rPr>
                <w:rFonts w:ascii="Calibri"/>
                <w:sz w:val="22"/>
              </w:rPr>
              <w:t>NEMA 1, white plastic, paintable, interior use only</w:t>
            </w:r>
          </w:p>
        </w:tc>
      </w:tr>
      <w:tr>
        <w:trPr>
          <w:trHeight w:val="268" w:hRule="atLeast"/>
        </w:trPr>
        <w:tc>
          <w:tcPr>
            <w:tcW w:w="4968" w:type="dxa"/>
          </w:tcPr>
          <w:p>
            <w:pPr>
              <w:pStyle w:val="TableParagraph"/>
              <w:spacing w:line="248" w:lineRule="exact"/>
              <w:ind w:left="112"/>
              <w:rPr>
                <w:rFonts w:ascii="Calibri"/>
                <w:sz w:val="22"/>
              </w:rPr>
            </w:pPr>
            <w:r>
              <w:rPr>
                <w:rFonts w:ascii="Calibri"/>
                <w:sz w:val="22"/>
              </w:rPr>
              <w:t>APPROVALS</w:t>
            </w:r>
          </w:p>
        </w:tc>
        <w:tc>
          <w:tcPr>
            <w:tcW w:w="5822" w:type="dxa"/>
          </w:tcPr>
          <w:p>
            <w:pPr>
              <w:pStyle w:val="TableParagraph"/>
              <w:spacing w:line="248" w:lineRule="exact"/>
              <w:rPr>
                <w:rFonts w:ascii="Calibri"/>
                <w:sz w:val="22"/>
              </w:rPr>
            </w:pPr>
            <w:r>
              <w:rPr>
                <w:rFonts w:ascii="Calibri"/>
                <w:sz w:val="22"/>
              </w:rPr>
              <w:t>CE</w:t>
            </w:r>
          </w:p>
        </w:tc>
      </w:tr>
      <w:tr>
        <w:trPr>
          <w:trHeight w:val="270" w:hRule="atLeast"/>
        </w:trPr>
        <w:tc>
          <w:tcPr>
            <w:tcW w:w="4968" w:type="dxa"/>
            <w:shd w:val="clear" w:color="auto" w:fill="E7E6E6"/>
          </w:tcPr>
          <w:p>
            <w:pPr>
              <w:pStyle w:val="TableParagraph"/>
              <w:spacing w:line="251" w:lineRule="exact"/>
              <w:ind w:left="112"/>
              <w:rPr>
                <w:rFonts w:ascii="Calibri"/>
                <w:sz w:val="22"/>
              </w:rPr>
            </w:pPr>
            <w:r>
              <w:rPr>
                <w:rFonts w:ascii="Calibri"/>
                <w:sz w:val="22"/>
              </w:rPr>
              <w:t>COUNTRY OF ORIGIN</w:t>
            </w:r>
          </w:p>
        </w:tc>
        <w:tc>
          <w:tcPr>
            <w:tcW w:w="5822" w:type="dxa"/>
            <w:shd w:val="clear" w:color="auto" w:fill="E7E6E6"/>
          </w:tcPr>
          <w:p>
            <w:pPr>
              <w:pStyle w:val="TableParagraph"/>
              <w:spacing w:line="251" w:lineRule="exact"/>
              <w:rPr>
                <w:rFonts w:ascii="Calibri"/>
                <w:sz w:val="22"/>
              </w:rPr>
            </w:pPr>
            <w:r>
              <w:rPr>
                <w:rFonts w:ascii="Calibri"/>
                <w:sz w:val="22"/>
              </w:rPr>
              <w:t>Canada</w:t>
            </w:r>
          </w:p>
        </w:tc>
      </w:tr>
    </w:tbl>
    <w:p>
      <w:pPr>
        <w:pStyle w:val="BodyText"/>
      </w:pPr>
    </w:p>
    <w:p>
      <w:pPr>
        <w:pStyle w:val="BodyText"/>
      </w:pPr>
    </w:p>
    <w:p>
      <w:pPr>
        <w:pStyle w:val="BodyText"/>
        <w:spacing w:before="1" w:after="1"/>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4282"/>
        <w:gridCol w:w="3692"/>
      </w:tblGrid>
      <w:tr>
        <w:trPr>
          <w:trHeight w:val="366" w:hRule="atLeast"/>
        </w:trPr>
        <w:tc>
          <w:tcPr>
            <w:tcW w:w="1114" w:type="dxa"/>
            <w:shd w:val="clear" w:color="auto" w:fill="767070"/>
          </w:tcPr>
          <w:p>
            <w:pPr>
              <w:pStyle w:val="TableParagraph"/>
              <w:spacing w:line="182" w:lineRule="exact" w:before="5"/>
              <w:ind w:left="323" w:right="354" w:hanging="56"/>
              <w:rPr>
                <w:b/>
                <w:sz w:val="16"/>
              </w:rPr>
            </w:pPr>
            <w:r>
              <w:rPr>
                <w:b/>
                <w:color w:val="FFFFFF"/>
                <w:sz w:val="16"/>
              </w:rPr>
              <w:t>Sensor Code</w:t>
            </w:r>
          </w:p>
        </w:tc>
        <w:tc>
          <w:tcPr>
            <w:tcW w:w="4282" w:type="dxa"/>
            <w:shd w:val="clear" w:color="auto" w:fill="767070"/>
          </w:tcPr>
          <w:p>
            <w:pPr>
              <w:pStyle w:val="TableParagraph"/>
              <w:spacing w:before="93"/>
              <w:ind w:left="966"/>
              <w:rPr>
                <w:b/>
                <w:sz w:val="16"/>
              </w:rPr>
            </w:pPr>
            <w:r>
              <w:rPr>
                <w:b/>
                <w:color w:val="FFFFFF"/>
                <w:sz w:val="16"/>
              </w:rPr>
              <w:t>Temperature Sensor Description</w:t>
            </w:r>
          </w:p>
        </w:tc>
        <w:tc>
          <w:tcPr>
            <w:tcW w:w="3692" w:type="dxa"/>
            <w:shd w:val="clear" w:color="auto" w:fill="767070"/>
          </w:tcPr>
          <w:p>
            <w:pPr>
              <w:pStyle w:val="TableParagraph"/>
              <w:spacing w:before="93"/>
              <w:ind w:left="1426" w:right="1566"/>
              <w:jc w:val="center"/>
              <w:rPr>
                <w:b/>
                <w:sz w:val="16"/>
              </w:rPr>
            </w:pPr>
            <w:r>
              <w:rPr>
                <w:b/>
                <w:color w:val="FFFFFF"/>
                <w:sz w:val="16"/>
              </w:rPr>
              <w:t>Accuracy</w:t>
            </w:r>
          </w:p>
        </w:tc>
      </w:tr>
      <w:tr>
        <w:trPr>
          <w:trHeight w:val="232" w:hRule="atLeast"/>
        </w:trPr>
        <w:tc>
          <w:tcPr>
            <w:tcW w:w="1114" w:type="dxa"/>
          </w:tcPr>
          <w:p>
            <w:pPr>
              <w:pStyle w:val="TableParagraph"/>
              <w:spacing w:before="23"/>
              <w:ind w:left="419"/>
              <w:rPr>
                <w:sz w:val="16"/>
              </w:rPr>
            </w:pPr>
            <w:r>
              <w:rPr>
                <w:sz w:val="16"/>
              </w:rPr>
              <w:t>02</w:t>
            </w:r>
          </w:p>
        </w:tc>
        <w:tc>
          <w:tcPr>
            <w:tcW w:w="4282" w:type="dxa"/>
          </w:tcPr>
          <w:p>
            <w:pPr>
              <w:pStyle w:val="TableParagraph"/>
              <w:spacing w:before="23"/>
              <w:ind w:left="107"/>
              <w:rPr>
                <w:sz w:val="16"/>
              </w:rPr>
            </w:pPr>
            <w:r>
              <w:rPr>
                <w:sz w:val="16"/>
              </w:rPr>
              <w:t>100Ω Platinum, IEC 751, 385 alpha, 2 wire, Class B</w:t>
            </w:r>
          </w:p>
        </w:tc>
        <w:tc>
          <w:tcPr>
            <w:tcW w:w="3692" w:type="dxa"/>
          </w:tcPr>
          <w:p>
            <w:pPr>
              <w:pStyle w:val="TableParagraph"/>
              <w:spacing w:before="23"/>
              <w:ind w:left="142"/>
              <w:rPr>
                <w:sz w:val="16"/>
              </w:rPr>
            </w:pPr>
            <w:r>
              <w:rPr>
                <w:sz w:val="16"/>
              </w:rPr>
              <w:t>± 0.3 °C (± 0.54 °F) @ 0 °C (32 °F)</w:t>
            </w:r>
          </w:p>
        </w:tc>
      </w:tr>
      <w:tr>
        <w:trPr>
          <w:trHeight w:val="232" w:hRule="atLeast"/>
        </w:trPr>
        <w:tc>
          <w:tcPr>
            <w:tcW w:w="1114" w:type="dxa"/>
          </w:tcPr>
          <w:p>
            <w:pPr>
              <w:pStyle w:val="TableParagraph"/>
              <w:spacing w:before="25"/>
              <w:ind w:left="419"/>
              <w:rPr>
                <w:sz w:val="16"/>
              </w:rPr>
            </w:pPr>
            <w:r>
              <w:rPr>
                <w:sz w:val="16"/>
              </w:rPr>
              <w:t>05</w:t>
            </w:r>
          </w:p>
        </w:tc>
        <w:tc>
          <w:tcPr>
            <w:tcW w:w="4282" w:type="dxa"/>
          </w:tcPr>
          <w:p>
            <w:pPr>
              <w:pStyle w:val="TableParagraph"/>
              <w:spacing w:before="25"/>
              <w:ind w:left="107"/>
              <w:rPr>
                <w:sz w:val="16"/>
              </w:rPr>
            </w:pPr>
            <w:r>
              <w:rPr>
                <w:sz w:val="16"/>
              </w:rPr>
              <w:t>1,801 Ω NTC thermistor</w:t>
            </w:r>
          </w:p>
        </w:tc>
        <w:tc>
          <w:tcPr>
            <w:tcW w:w="3692" w:type="dxa"/>
          </w:tcPr>
          <w:p>
            <w:pPr>
              <w:pStyle w:val="TableParagraph"/>
              <w:spacing w:before="25"/>
              <w:ind w:left="142"/>
              <w:rPr>
                <w:sz w:val="16"/>
              </w:rPr>
            </w:pPr>
            <w:r>
              <w:rPr>
                <w:sz w:val="16"/>
              </w:rPr>
              <w:t>± 0.5 °C (± 0.9 °F) @ -20 - 50 °C (-4 - 122 °F)</w:t>
            </w:r>
          </w:p>
        </w:tc>
      </w:tr>
      <w:tr>
        <w:trPr>
          <w:trHeight w:val="232" w:hRule="atLeast"/>
        </w:trPr>
        <w:tc>
          <w:tcPr>
            <w:tcW w:w="1114" w:type="dxa"/>
          </w:tcPr>
          <w:p>
            <w:pPr>
              <w:pStyle w:val="TableParagraph"/>
              <w:spacing w:before="25"/>
              <w:ind w:left="419"/>
              <w:rPr>
                <w:sz w:val="16"/>
              </w:rPr>
            </w:pPr>
            <w:r>
              <w:rPr>
                <w:sz w:val="16"/>
              </w:rPr>
              <w:t>06</w:t>
            </w:r>
          </w:p>
        </w:tc>
        <w:tc>
          <w:tcPr>
            <w:tcW w:w="4282" w:type="dxa"/>
          </w:tcPr>
          <w:p>
            <w:pPr>
              <w:pStyle w:val="TableParagraph"/>
              <w:spacing w:before="25"/>
              <w:ind w:left="107"/>
              <w:rPr>
                <w:sz w:val="16"/>
              </w:rPr>
            </w:pPr>
            <w:r>
              <w:rPr>
                <w:sz w:val="16"/>
              </w:rPr>
              <w:t>3,000 Ω NTC thermistor</w:t>
            </w:r>
          </w:p>
        </w:tc>
        <w:tc>
          <w:tcPr>
            <w:tcW w:w="3692" w:type="dxa"/>
          </w:tcPr>
          <w:p>
            <w:pPr>
              <w:pStyle w:val="TableParagraph"/>
              <w:spacing w:before="25"/>
              <w:ind w:left="142"/>
              <w:rPr>
                <w:sz w:val="16"/>
              </w:rPr>
            </w:pPr>
            <w:r>
              <w:rPr>
                <w:sz w:val="16"/>
              </w:rPr>
              <w:t>± 0.2 °C (± 0.36 °F) @ 0 - 70 °C (32 - 158 °F)</w:t>
            </w:r>
          </w:p>
        </w:tc>
      </w:tr>
      <w:tr>
        <w:trPr>
          <w:trHeight w:val="232" w:hRule="atLeast"/>
        </w:trPr>
        <w:tc>
          <w:tcPr>
            <w:tcW w:w="1114" w:type="dxa"/>
          </w:tcPr>
          <w:p>
            <w:pPr>
              <w:pStyle w:val="TableParagraph"/>
              <w:spacing w:before="25"/>
              <w:ind w:left="419"/>
              <w:rPr>
                <w:sz w:val="16"/>
              </w:rPr>
            </w:pPr>
            <w:r>
              <w:rPr>
                <w:sz w:val="16"/>
              </w:rPr>
              <w:t>07</w:t>
            </w:r>
          </w:p>
        </w:tc>
        <w:tc>
          <w:tcPr>
            <w:tcW w:w="4282" w:type="dxa"/>
          </w:tcPr>
          <w:p>
            <w:pPr>
              <w:pStyle w:val="TableParagraph"/>
              <w:spacing w:before="25"/>
              <w:ind w:left="107"/>
              <w:rPr>
                <w:sz w:val="16"/>
              </w:rPr>
            </w:pPr>
            <w:r>
              <w:rPr>
                <w:sz w:val="16"/>
              </w:rPr>
              <w:t>10,000 Ω (type 3) NTC thermistor</w:t>
            </w:r>
          </w:p>
        </w:tc>
        <w:tc>
          <w:tcPr>
            <w:tcW w:w="3692" w:type="dxa"/>
          </w:tcPr>
          <w:p>
            <w:pPr>
              <w:pStyle w:val="TableParagraph"/>
              <w:spacing w:before="25"/>
              <w:ind w:left="142"/>
              <w:rPr>
                <w:sz w:val="16"/>
              </w:rPr>
            </w:pPr>
            <w:r>
              <w:rPr>
                <w:sz w:val="16"/>
              </w:rPr>
              <w:t>± 0.2 °C (± 0.36 °F) @ 0 - 70 °C (32 - 158 °F)</w:t>
            </w:r>
          </w:p>
        </w:tc>
      </w:tr>
      <w:tr>
        <w:trPr>
          <w:trHeight w:val="234" w:hRule="atLeast"/>
        </w:trPr>
        <w:tc>
          <w:tcPr>
            <w:tcW w:w="1114" w:type="dxa"/>
          </w:tcPr>
          <w:p>
            <w:pPr>
              <w:pStyle w:val="TableParagraph"/>
              <w:spacing w:before="25"/>
              <w:ind w:left="419"/>
              <w:rPr>
                <w:sz w:val="16"/>
              </w:rPr>
            </w:pPr>
            <w:r>
              <w:rPr>
                <w:sz w:val="16"/>
              </w:rPr>
              <w:t>08</w:t>
            </w:r>
          </w:p>
        </w:tc>
        <w:tc>
          <w:tcPr>
            <w:tcW w:w="4282" w:type="dxa"/>
          </w:tcPr>
          <w:p>
            <w:pPr>
              <w:pStyle w:val="TableParagraph"/>
              <w:spacing w:before="25"/>
              <w:ind w:left="107"/>
              <w:rPr>
                <w:sz w:val="16"/>
              </w:rPr>
            </w:pPr>
            <w:r>
              <w:rPr>
                <w:sz w:val="16"/>
              </w:rPr>
              <w:t>2.252 KΩ NTC thermistor</w:t>
            </w:r>
          </w:p>
        </w:tc>
        <w:tc>
          <w:tcPr>
            <w:tcW w:w="3692" w:type="dxa"/>
          </w:tcPr>
          <w:p>
            <w:pPr>
              <w:pStyle w:val="TableParagraph"/>
              <w:spacing w:before="25"/>
              <w:ind w:left="142"/>
              <w:rPr>
                <w:sz w:val="16"/>
              </w:rPr>
            </w:pPr>
            <w:r>
              <w:rPr>
                <w:sz w:val="16"/>
              </w:rPr>
              <w:t>± 0.2 °C (± 0.36 °F) @ 0 - 70 °C (32 - 158 °F)</w:t>
            </w:r>
          </w:p>
        </w:tc>
      </w:tr>
      <w:tr>
        <w:trPr>
          <w:trHeight w:val="258" w:hRule="atLeast"/>
        </w:trPr>
        <w:tc>
          <w:tcPr>
            <w:tcW w:w="1114" w:type="dxa"/>
          </w:tcPr>
          <w:p>
            <w:pPr>
              <w:pStyle w:val="TableParagraph"/>
              <w:spacing w:before="37"/>
              <w:ind w:left="419"/>
              <w:rPr>
                <w:sz w:val="16"/>
              </w:rPr>
            </w:pPr>
            <w:r>
              <w:rPr>
                <w:sz w:val="16"/>
              </w:rPr>
              <w:t>12</w:t>
            </w:r>
          </w:p>
        </w:tc>
        <w:tc>
          <w:tcPr>
            <w:tcW w:w="4282" w:type="dxa"/>
          </w:tcPr>
          <w:p>
            <w:pPr>
              <w:pStyle w:val="TableParagraph"/>
              <w:spacing w:before="37"/>
              <w:ind w:left="107"/>
              <w:rPr>
                <w:sz w:val="16"/>
              </w:rPr>
            </w:pPr>
            <w:r>
              <w:rPr>
                <w:sz w:val="16"/>
              </w:rPr>
              <w:t>1000Ω Platinum, IEC 751, 385 alpha, 2-wire, Class B</w:t>
            </w:r>
          </w:p>
        </w:tc>
        <w:tc>
          <w:tcPr>
            <w:tcW w:w="3692" w:type="dxa"/>
          </w:tcPr>
          <w:p>
            <w:pPr>
              <w:pStyle w:val="TableParagraph"/>
              <w:spacing w:before="37"/>
              <w:ind w:left="142"/>
              <w:rPr>
                <w:sz w:val="16"/>
              </w:rPr>
            </w:pPr>
            <w:r>
              <w:rPr>
                <w:sz w:val="16"/>
              </w:rPr>
              <w:t>± 0.3 °C (± 0.54 °F) @ 0 °C (32 °F)</w:t>
            </w:r>
          </w:p>
        </w:tc>
      </w:tr>
      <w:tr>
        <w:trPr>
          <w:trHeight w:val="268" w:hRule="atLeast"/>
        </w:trPr>
        <w:tc>
          <w:tcPr>
            <w:tcW w:w="1114" w:type="dxa"/>
          </w:tcPr>
          <w:p>
            <w:pPr>
              <w:pStyle w:val="TableParagraph"/>
              <w:spacing w:before="45"/>
              <w:ind w:left="419"/>
              <w:rPr>
                <w:sz w:val="16"/>
              </w:rPr>
            </w:pPr>
            <w:r>
              <w:rPr>
                <w:sz w:val="16"/>
              </w:rPr>
              <w:t>13</w:t>
            </w:r>
          </w:p>
        </w:tc>
        <w:tc>
          <w:tcPr>
            <w:tcW w:w="4282" w:type="dxa"/>
          </w:tcPr>
          <w:p>
            <w:pPr>
              <w:pStyle w:val="TableParagraph"/>
              <w:spacing w:before="45"/>
              <w:ind w:left="107"/>
              <w:rPr>
                <w:sz w:val="16"/>
              </w:rPr>
            </w:pPr>
            <w:r>
              <w:rPr>
                <w:sz w:val="16"/>
              </w:rPr>
              <w:t>1000Ω Nickel, DIN 43760, 2-wire, Class B</w:t>
            </w:r>
          </w:p>
        </w:tc>
        <w:tc>
          <w:tcPr>
            <w:tcW w:w="3692" w:type="dxa"/>
          </w:tcPr>
          <w:p>
            <w:pPr>
              <w:pStyle w:val="TableParagraph"/>
              <w:spacing w:before="45"/>
              <w:ind w:left="142"/>
              <w:rPr>
                <w:sz w:val="16"/>
              </w:rPr>
            </w:pPr>
            <w:r>
              <w:rPr>
                <w:sz w:val="16"/>
              </w:rPr>
              <w:t>± 0.4 °C (± 0.72 °F) @ 0 °C (32 °F)</w:t>
            </w:r>
          </w:p>
        </w:tc>
      </w:tr>
      <w:tr>
        <w:trPr>
          <w:trHeight w:val="277" w:hRule="atLeast"/>
        </w:trPr>
        <w:tc>
          <w:tcPr>
            <w:tcW w:w="1114" w:type="dxa"/>
          </w:tcPr>
          <w:p>
            <w:pPr>
              <w:pStyle w:val="TableParagraph"/>
              <w:spacing w:before="49"/>
              <w:ind w:left="419"/>
              <w:rPr>
                <w:sz w:val="16"/>
              </w:rPr>
            </w:pPr>
            <w:r>
              <w:rPr>
                <w:sz w:val="16"/>
              </w:rPr>
              <w:t>14</w:t>
            </w:r>
          </w:p>
        </w:tc>
        <w:tc>
          <w:tcPr>
            <w:tcW w:w="4282" w:type="dxa"/>
          </w:tcPr>
          <w:p>
            <w:pPr>
              <w:pStyle w:val="TableParagraph"/>
              <w:spacing w:before="49"/>
              <w:ind w:left="107"/>
              <w:rPr>
                <w:sz w:val="16"/>
              </w:rPr>
            </w:pPr>
            <w:r>
              <w:rPr>
                <w:sz w:val="16"/>
              </w:rPr>
              <w:t>10,000 Ω (Type 3) NTC thermistor c/w 11 KΩ shunt</w:t>
            </w:r>
          </w:p>
        </w:tc>
        <w:tc>
          <w:tcPr>
            <w:tcW w:w="3692" w:type="dxa"/>
          </w:tcPr>
          <w:p>
            <w:pPr>
              <w:pStyle w:val="TableParagraph"/>
              <w:spacing w:before="49"/>
              <w:ind w:left="142"/>
              <w:rPr>
                <w:sz w:val="16"/>
              </w:rPr>
            </w:pPr>
            <w:r>
              <w:rPr>
                <w:sz w:val="16"/>
              </w:rPr>
              <w:t>± 0.2 °C (± 0.36 °F) @ 0 - 70 °C (32 - 158 °F)</w:t>
            </w:r>
          </w:p>
        </w:tc>
      </w:tr>
      <w:tr>
        <w:trPr>
          <w:trHeight w:val="261" w:hRule="atLeast"/>
        </w:trPr>
        <w:tc>
          <w:tcPr>
            <w:tcW w:w="1114" w:type="dxa"/>
          </w:tcPr>
          <w:p>
            <w:pPr>
              <w:pStyle w:val="TableParagraph"/>
              <w:spacing w:before="40"/>
              <w:ind w:left="419"/>
              <w:rPr>
                <w:sz w:val="16"/>
              </w:rPr>
            </w:pPr>
            <w:r>
              <w:rPr>
                <w:sz w:val="16"/>
              </w:rPr>
              <w:t>20</w:t>
            </w:r>
          </w:p>
        </w:tc>
        <w:tc>
          <w:tcPr>
            <w:tcW w:w="4282" w:type="dxa"/>
          </w:tcPr>
          <w:p>
            <w:pPr>
              <w:pStyle w:val="TableParagraph"/>
              <w:spacing w:before="40"/>
              <w:ind w:left="107"/>
              <w:rPr>
                <w:sz w:val="16"/>
              </w:rPr>
            </w:pPr>
            <w:r>
              <w:rPr>
                <w:sz w:val="16"/>
              </w:rPr>
              <w:t>20,000 Ω NTC thermistor</w:t>
            </w:r>
          </w:p>
        </w:tc>
        <w:tc>
          <w:tcPr>
            <w:tcW w:w="3692" w:type="dxa"/>
          </w:tcPr>
          <w:p>
            <w:pPr>
              <w:pStyle w:val="TableParagraph"/>
              <w:spacing w:before="40"/>
              <w:ind w:left="142"/>
              <w:rPr>
                <w:sz w:val="16"/>
              </w:rPr>
            </w:pPr>
            <w:r>
              <w:rPr>
                <w:sz w:val="16"/>
              </w:rPr>
              <w:t>± 0.2 °C (± 0.36 °F) @ 0 - 70 °C (32 - 158 °F)</w:t>
            </w:r>
          </w:p>
        </w:tc>
      </w:tr>
      <w:tr>
        <w:trPr>
          <w:trHeight w:val="258" w:hRule="atLeast"/>
        </w:trPr>
        <w:tc>
          <w:tcPr>
            <w:tcW w:w="1114" w:type="dxa"/>
          </w:tcPr>
          <w:p>
            <w:pPr>
              <w:pStyle w:val="TableParagraph"/>
              <w:spacing w:before="37"/>
              <w:ind w:left="419"/>
              <w:rPr>
                <w:sz w:val="16"/>
              </w:rPr>
            </w:pPr>
            <w:r>
              <w:rPr>
                <w:sz w:val="16"/>
              </w:rPr>
              <w:t>24</w:t>
            </w:r>
          </w:p>
        </w:tc>
        <w:tc>
          <w:tcPr>
            <w:tcW w:w="4282" w:type="dxa"/>
          </w:tcPr>
          <w:p>
            <w:pPr>
              <w:pStyle w:val="TableParagraph"/>
              <w:spacing w:before="37"/>
              <w:ind w:left="107"/>
              <w:rPr>
                <w:sz w:val="16"/>
              </w:rPr>
            </w:pPr>
            <w:r>
              <w:rPr>
                <w:sz w:val="16"/>
              </w:rPr>
              <w:t>10,000 Ω (Type 2) NTC thermistor</w:t>
            </w:r>
          </w:p>
        </w:tc>
        <w:tc>
          <w:tcPr>
            <w:tcW w:w="3692" w:type="dxa"/>
          </w:tcPr>
          <w:p>
            <w:pPr>
              <w:pStyle w:val="TableParagraph"/>
              <w:spacing w:before="37"/>
              <w:ind w:left="142"/>
              <w:rPr>
                <w:sz w:val="16"/>
              </w:rPr>
            </w:pPr>
            <w:r>
              <w:rPr>
                <w:sz w:val="16"/>
              </w:rPr>
              <w:t>± 0.2 °C (± 0.36 °F) @ 0 - 70 °C (32 - 158 °F)</w:t>
            </w:r>
          </w:p>
        </w:tc>
      </w:tr>
      <w:tr>
        <w:trPr>
          <w:trHeight w:val="261" w:hRule="atLeast"/>
        </w:trPr>
        <w:tc>
          <w:tcPr>
            <w:tcW w:w="1114" w:type="dxa"/>
          </w:tcPr>
          <w:p>
            <w:pPr>
              <w:pStyle w:val="TableParagraph"/>
              <w:spacing w:before="40"/>
              <w:ind w:left="419"/>
              <w:rPr>
                <w:sz w:val="16"/>
              </w:rPr>
            </w:pPr>
            <w:r>
              <w:rPr>
                <w:sz w:val="16"/>
              </w:rPr>
              <w:t>59</w:t>
            </w:r>
          </w:p>
        </w:tc>
        <w:tc>
          <w:tcPr>
            <w:tcW w:w="4282" w:type="dxa"/>
          </w:tcPr>
          <w:p>
            <w:pPr>
              <w:pStyle w:val="TableParagraph"/>
              <w:spacing w:before="40"/>
              <w:ind w:left="107"/>
              <w:rPr>
                <w:sz w:val="16"/>
              </w:rPr>
            </w:pPr>
            <w:r>
              <w:rPr>
                <w:sz w:val="16"/>
              </w:rPr>
              <w:t>10,000 Ω NTC thermistor</w:t>
            </w:r>
          </w:p>
        </w:tc>
        <w:tc>
          <w:tcPr>
            <w:tcW w:w="3692" w:type="dxa"/>
          </w:tcPr>
          <w:p>
            <w:pPr>
              <w:pStyle w:val="TableParagraph"/>
              <w:spacing w:before="39"/>
              <w:ind w:left="142"/>
              <w:rPr>
                <w:sz w:val="16"/>
              </w:rPr>
            </w:pPr>
            <w:r>
              <w:rPr>
                <w:position w:val="2"/>
                <w:sz w:val="16"/>
              </w:rPr>
              <w:t>± 1% @ 25°C (77°F), β</w:t>
            </w:r>
            <w:r>
              <w:rPr>
                <w:sz w:val="10"/>
              </w:rPr>
              <w:t>25/85 </w:t>
            </w:r>
            <w:r>
              <w:rPr>
                <w:position w:val="2"/>
                <w:sz w:val="16"/>
              </w:rPr>
              <w:t>= 3435 ± 1%</w:t>
            </w:r>
          </w:p>
        </w:tc>
      </w:tr>
    </w:tbl>
    <w:p>
      <w:pPr>
        <w:pStyle w:val="BodyText"/>
      </w:pPr>
    </w:p>
    <w:p>
      <w:pPr>
        <w:pStyle w:val="BodyText"/>
      </w:pPr>
    </w:p>
    <w:p>
      <w:pPr>
        <w:spacing w:after="0"/>
        <w:sectPr>
          <w:type w:val="continuous"/>
          <w:pgSz w:w="12240" w:h="15840"/>
          <w:pgMar w:top="20" w:bottom="0" w:left="620" w:right="340"/>
        </w:sectPr>
      </w:pPr>
    </w:p>
    <w:p>
      <w:pPr>
        <w:pStyle w:val="BodyText"/>
        <w:spacing w:before="3"/>
      </w:pPr>
      <w:r>
        <w:rPr/>
        <w:pict>
          <v:group style="position:absolute;margin-left:1.5pt;margin-top:741.184021pt;width:609pt;height:39.5pt;mso-position-horizontal-relative:page;mso-position-vertical-relative:page;z-index:-251915264" coordorigin="30,14824" coordsize="12180,790">
            <v:shape style="position:absolute;left:30;top:14823;width:12180;height:790" coordorigin="30,14824" coordsize="12180,790" path="m12210,14824l5840,14824,5830,14824,30,14824,30,15614,5830,15614,5840,15614,12210,15614,12210,14824e" filled="true" fillcolor="#007564" stroked="false">
              <v:path arrowok="t"/>
              <v:fill type="solid"/>
            </v:shape>
            <v:line style="position:absolute" from="5860,14894" to="5860,15504" stroked="true" strokeweight=".5pt" strokecolor="#ffffff">
              <v:stroke dashstyle="solid"/>
            </v:line>
            <w10:wrap type="none"/>
          </v:group>
        </w:pict>
      </w:r>
      <w:r>
        <w:rPr/>
        <w:drawing>
          <wp:anchor distT="0" distB="0" distL="0" distR="0" allowOverlap="1" layoutInCell="1" locked="0" behindDoc="1" simplePos="0" relativeHeight="251402240">
            <wp:simplePos x="0" y="0"/>
            <wp:positionH relativeFrom="page">
              <wp:posOffset>4840154</wp:posOffset>
            </wp:positionH>
            <wp:positionV relativeFrom="page">
              <wp:posOffset>16510</wp:posOffset>
            </wp:positionV>
            <wp:extent cx="2882202" cy="216904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882202" cy="2169041"/>
                    </a:xfrm>
                    <a:prstGeom prst="rect">
                      <a:avLst/>
                    </a:prstGeom>
                  </pic:spPr>
                </pic:pic>
              </a:graphicData>
            </a:graphic>
          </wp:anchor>
        </w:drawing>
      </w:r>
      <w:r>
        <w:rPr/>
        <w:pict>
          <v:group style="position:absolute;margin-left:-.75pt;margin-top:87pt;width:242.75pt;height:5.5pt;mso-position-horizontal-relative:page;mso-position-vertical-relative:page;z-index:-251913216" coordorigin="-15,1740" coordsize="4855,110">
            <v:line style="position:absolute" from="0,1780" to="4800,1790" stroked="true" strokeweight="1.5pt" strokecolor="#007564">
              <v:stroke dashstyle="solid"/>
            </v:line>
            <v:shape style="position:absolute;left:4730;top:1740;width:110;height:110" type="#_x0000_t75" stroked="false">
              <v:imagedata r:id="rId7" o:title=""/>
            </v:shape>
            <w10:wrap type="none"/>
          </v:group>
        </w:pict>
      </w:r>
    </w:p>
    <w:p>
      <w:pPr>
        <w:spacing w:line="195" w:lineRule="exact" w:before="0"/>
        <w:ind w:left="0" w:right="0" w:firstLine="0"/>
        <w:jc w:val="right"/>
        <w:rPr>
          <w:b/>
          <w:sz w:val="16"/>
        </w:rPr>
      </w:pPr>
      <w:r>
        <w:rPr>
          <w:b/>
          <w:color w:val="FFFFFF"/>
          <w:sz w:val="16"/>
        </w:rPr>
        <w:t>Greystone Energy Systems,</w:t>
      </w:r>
      <w:r>
        <w:rPr>
          <w:b/>
          <w:color w:val="FFFFFF"/>
          <w:spacing w:val="-12"/>
          <w:sz w:val="16"/>
        </w:rPr>
        <w:t> </w:t>
      </w:r>
      <w:r>
        <w:rPr>
          <w:b/>
          <w:color w:val="FFFFFF"/>
          <w:sz w:val="16"/>
        </w:rPr>
        <w:t>Inc.</w:t>
      </w:r>
    </w:p>
    <w:p>
      <w:pPr>
        <w:spacing w:before="0"/>
        <w:ind w:left="3632" w:right="0" w:firstLine="467"/>
        <w:jc w:val="right"/>
        <w:rPr>
          <w:sz w:val="16"/>
        </w:rPr>
      </w:pPr>
      <w:r>
        <w:rPr>
          <w:color w:val="FFFFFF"/>
          <w:sz w:val="16"/>
        </w:rPr>
        <w:t>150 English</w:t>
      </w:r>
      <w:r>
        <w:rPr>
          <w:color w:val="FFFFFF"/>
          <w:spacing w:val="1"/>
          <w:sz w:val="16"/>
        </w:rPr>
        <w:t> </w:t>
      </w:r>
      <w:r>
        <w:rPr>
          <w:color w:val="FFFFFF"/>
          <w:spacing w:val="-6"/>
          <w:sz w:val="16"/>
        </w:rPr>
        <w:t>Dr.</w:t>
      </w:r>
      <w:r>
        <w:rPr>
          <w:color w:val="FFFFFF"/>
          <w:w w:val="100"/>
          <w:sz w:val="16"/>
        </w:rPr>
        <w:t> </w:t>
      </w:r>
      <w:r>
        <w:rPr>
          <w:color w:val="FFFFFF"/>
          <w:sz w:val="16"/>
        </w:rPr>
        <w:t>Moncton, NB E1E</w:t>
      </w:r>
      <w:r>
        <w:rPr>
          <w:color w:val="FFFFFF"/>
          <w:spacing w:val="-2"/>
          <w:sz w:val="16"/>
        </w:rPr>
        <w:t> </w:t>
      </w:r>
      <w:r>
        <w:rPr>
          <w:color w:val="FFFFFF"/>
          <w:spacing w:val="-5"/>
          <w:sz w:val="16"/>
        </w:rPr>
        <w:t>4G7</w:t>
      </w:r>
    </w:p>
    <w:p>
      <w:pPr>
        <w:pStyle w:val="BodyText"/>
        <w:spacing w:before="5"/>
      </w:pPr>
      <w:r>
        <w:rPr/>
        <w:br w:type="column"/>
      </w:r>
      <w:r>
        <w:rPr/>
      </w:r>
    </w:p>
    <w:p>
      <w:pPr>
        <w:spacing w:before="0"/>
        <w:ind w:left="253" w:right="0" w:firstLine="0"/>
        <w:jc w:val="left"/>
        <w:rPr>
          <w:sz w:val="16"/>
        </w:rPr>
      </w:pPr>
      <w:r>
        <w:rPr>
          <w:color w:val="FFFFFF"/>
          <w:sz w:val="16"/>
        </w:rPr>
        <w:t>+1 506 853 3057</w:t>
      </w:r>
    </w:p>
    <w:p>
      <w:pPr>
        <w:tabs>
          <w:tab w:pos="5245" w:val="left" w:leader="none"/>
        </w:tabs>
        <w:spacing w:line="219" w:lineRule="exact" w:before="2"/>
        <w:ind w:left="253" w:right="0" w:firstLine="0"/>
        <w:jc w:val="left"/>
        <w:rPr>
          <w:b/>
          <w:sz w:val="18"/>
        </w:rPr>
      </w:pPr>
      <w:hyperlink r:id="rId8">
        <w:r>
          <w:rPr>
            <w:color w:val="FFFFFF"/>
            <w:sz w:val="16"/>
            <w:u w:val="single" w:color="FFFFFF"/>
          </w:rPr>
          <w:t>mail@greystoneenergy.com</w:t>
        </w:r>
      </w:hyperlink>
      <w:r>
        <w:rPr>
          <w:color w:val="FFFFFF"/>
          <w:sz w:val="16"/>
        </w:rPr>
        <w:tab/>
      </w:r>
      <w:r>
        <w:rPr>
          <w:color w:val="FFFFFF"/>
          <w:sz w:val="18"/>
        </w:rPr>
        <w:t>Page </w:t>
      </w:r>
      <w:r>
        <w:rPr>
          <w:b/>
          <w:color w:val="FFFFFF"/>
          <w:sz w:val="18"/>
        </w:rPr>
        <w:t>1 </w:t>
      </w:r>
      <w:r>
        <w:rPr>
          <w:color w:val="FFFFFF"/>
          <w:sz w:val="18"/>
        </w:rPr>
        <w:t>of</w:t>
      </w:r>
      <w:r>
        <w:rPr>
          <w:color w:val="FFFFFF"/>
          <w:spacing w:val="-1"/>
          <w:sz w:val="18"/>
        </w:rPr>
        <w:t> </w:t>
      </w:r>
      <w:r>
        <w:rPr>
          <w:b/>
          <w:color w:val="FFFFFF"/>
          <w:sz w:val="18"/>
        </w:rPr>
        <w:t>1</w:t>
      </w:r>
    </w:p>
    <w:p>
      <w:pPr>
        <w:spacing w:line="195" w:lineRule="exact" w:before="0"/>
        <w:ind w:left="253" w:right="0" w:firstLine="0"/>
        <w:jc w:val="left"/>
        <w:rPr>
          <w:sz w:val="16"/>
        </w:rPr>
      </w:pPr>
      <w:r>
        <w:rPr>
          <w:color w:val="FFFFFF"/>
          <w:sz w:val="16"/>
        </w:rPr>
        <w:t>ES-TSBTA</w:t>
      </w:r>
    </w:p>
    <w:sectPr>
      <w:type w:val="continuous"/>
      <w:pgSz w:w="12240" w:h="15840"/>
      <w:pgMar w:top="20" w:bottom="0" w:left="620" w:right="340"/>
      <w:cols w:num="2" w:equalWidth="0">
        <w:col w:w="5071" w:space="40"/>
        <w:col w:w="616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1"/>
      </w:pPr>
      <w:rPr>
        <w:rFonts w:hint="default" w:ascii="Symbol" w:hAnsi="Symbol" w:eastAsia="Symbol" w:cs="Symbol"/>
        <w:color w:val="585858"/>
        <w:w w:val="100"/>
        <w:sz w:val="22"/>
        <w:szCs w:val="22"/>
      </w:rPr>
    </w:lvl>
    <w:lvl w:ilvl="1">
      <w:start w:val="0"/>
      <w:numFmt w:val="bullet"/>
      <w:lvlText w:val="•"/>
      <w:lvlJc w:val="left"/>
      <w:pPr>
        <w:ind w:left="3640" w:hanging="361"/>
      </w:pPr>
      <w:rPr>
        <w:rFonts w:hint="default"/>
      </w:rPr>
    </w:lvl>
    <w:lvl w:ilvl="2">
      <w:start w:val="0"/>
      <w:numFmt w:val="bullet"/>
      <w:lvlText w:val="•"/>
      <w:lvlJc w:val="left"/>
      <w:pPr>
        <w:ind w:left="3798" w:hanging="361"/>
      </w:pPr>
      <w:rPr>
        <w:rFonts w:hint="default"/>
      </w:rPr>
    </w:lvl>
    <w:lvl w:ilvl="3">
      <w:start w:val="0"/>
      <w:numFmt w:val="bullet"/>
      <w:lvlText w:val="•"/>
      <w:lvlJc w:val="left"/>
      <w:pPr>
        <w:ind w:left="3957" w:hanging="361"/>
      </w:pPr>
      <w:rPr>
        <w:rFonts w:hint="default"/>
      </w:rPr>
    </w:lvl>
    <w:lvl w:ilvl="4">
      <w:start w:val="0"/>
      <w:numFmt w:val="bullet"/>
      <w:lvlText w:val="•"/>
      <w:lvlJc w:val="left"/>
      <w:pPr>
        <w:ind w:left="4116" w:hanging="361"/>
      </w:pPr>
      <w:rPr>
        <w:rFonts w:hint="default"/>
      </w:rPr>
    </w:lvl>
    <w:lvl w:ilvl="5">
      <w:start w:val="0"/>
      <w:numFmt w:val="bullet"/>
      <w:lvlText w:val="•"/>
      <w:lvlJc w:val="left"/>
      <w:pPr>
        <w:ind w:left="4275" w:hanging="361"/>
      </w:pPr>
      <w:rPr>
        <w:rFonts w:hint="default"/>
      </w:rPr>
    </w:lvl>
    <w:lvl w:ilvl="6">
      <w:start w:val="0"/>
      <w:numFmt w:val="bullet"/>
      <w:lvlText w:val="•"/>
      <w:lvlJc w:val="left"/>
      <w:pPr>
        <w:ind w:left="4434" w:hanging="361"/>
      </w:pPr>
      <w:rPr>
        <w:rFonts w:hint="default"/>
      </w:rPr>
    </w:lvl>
    <w:lvl w:ilvl="7">
      <w:start w:val="0"/>
      <w:numFmt w:val="bullet"/>
      <w:lvlText w:val="•"/>
      <w:lvlJc w:val="left"/>
      <w:pPr>
        <w:ind w:left="4593" w:hanging="361"/>
      </w:pPr>
      <w:rPr>
        <w:rFonts w:hint="default"/>
      </w:rPr>
    </w:lvl>
    <w:lvl w:ilvl="8">
      <w:start w:val="0"/>
      <w:numFmt w:val="bullet"/>
      <w:lvlText w:val="•"/>
      <w:lvlJc w:val="left"/>
      <w:pPr>
        <w:ind w:left="4752"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0"/>
      <w:szCs w:val="20"/>
    </w:rPr>
  </w:style>
  <w:style w:styleId="Heading1" w:type="paragraph">
    <w:name w:val="Heading 1"/>
    <w:basedOn w:val="Normal"/>
    <w:uiPriority w:val="1"/>
    <w:qFormat/>
    <w:pPr>
      <w:ind w:left="820" w:hanging="361"/>
      <w:outlineLvl w:val="1"/>
    </w:pPr>
    <w:rPr>
      <w:rFonts w:ascii="Calibri" w:hAnsi="Calibri" w:eastAsia="Calibri" w:cs="Calibri"/>
      <w:sz w:val="22"/>
      <w:szCs w:val="22"/>
    </w:rPr>
  </w:style>
  <w:style w:styleId="ListParagraph" w:type="paragraph">
    <w:name w:val="List Paragraph"/>
    <w:basedOn w:val="Normal"/>
    <w:uiPriority w:val="1"/>
    <w:qFormat/>
    <w:pPr>
      <w:ind w:left="820" w:hanging="361"/>
    </w:pPr>
    <w:rPr>
      <w:rFonts w:ascii="Calibri" w:hAnsi="Calibri" w:eastAsia="Calibri" w:cs="Calibri"/>
    </w:rPr>
  </w:style>
  <w:style w:styleId="TableParagraph" w:type="paragraph">
    <w:name w:val="Table Paragraph"/>
    <w:basedOn w:val="Normal"/>
    <w:uiPriority w:val="1"/>
    <w:qFormat/>
    <w:pPr>
      <w:ind w:left="4"/>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mail@greystoneenergy.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dcterms:created xsi:type="dcterms:W3CDTF">2020-03-05T12:16:47Z</dcterms:created>
  <dcterms:modified xsi:type="dcterms:W3CDTF">2020-03-05T12:16:47Z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
    </vt:lpwstr>
  </property>
  <property fmtid="{D5CDD505-2E9C-101B-9397-08002B2CF9AE}" pid="6" name="Date">
    <vt:lpwstr>30/04/2020</vt:lpwstr>
  </property>
  <property fmtid="{D5CDD505-2E9C-101B-9397-08002B2CF9AE}" pid="7" name="FileName">
    <vt:lpwstr>ES-TSBTA</vt:lpwstr>
  </property>
  <property fmtid="{D5CDD505-2E9C-101B-9397-08002B2CF9AE}" pid="8" name="ProjectNumber">
    <vt:lpwstr>
    </vt:lpwstr>
  </property>
  <property fmtid="{D5CDD505-2E9C-101B-9397-08002B2CF9AE}" pid="9" name="CustomerName">
    <vt:lpwstr>
    </vt:lpwstr>
  </property>
  <property fmtid="{D5CDD505-2E9C-101B-9397-08002B2CF9AE}" pid="10" name="Status">
    <vt:lpwstr>REVIEW DOCUMENT</vt:lpwstr>
  </property>
  <property fmtid="{D5CDD505-2E9C-101B-9397-08002B2CF9AE}" pid="11" name="Revision">
    <vt:lpwstr>001</vt:lpwstr>
  </property>
</Properties>
</file>