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5F6F658F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AC CURRENT SWTICH</w:t>
      </w:r>
    </w:p>
    <w:p w14:paraId="6A714E0C" w14:textId="44BDE03A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BB4918">
        <w:rPr>
          <w:rFonts w:ascii="Calibri" w:eastAsia="Calibri" w:hAnsi="Calibri" w:cs="Calibri"/>
          <w:color w:val="7E7E7E"/>
          <w:lang w:val="en-US"/>
        </w:rPr>
        <w:t>-GnG-</w:t>
      </w:r>
      <w:r w:rsidR="00F45CD5">
        <w:rPr>
          <w:rFonts w:ascii="Calibri" w:eastAsia="Calibri" w:hAnsi="Calibri" w:cs="Calibri"/>
          <w:color w:val="7E7E7E"/>
          <w:lang w:val="en-US"/>
        </w:rPr>
        <w:t>2</w:t>
      </w:r>
      <w:r w:rsidR="00BB4918">
        <w:rPr>
          <w:rFonts w:ascii="Calibri" w:eastAsia="Calibri" w:hAnsi="Calibri" w:cs="Calibri"/>
          <w:color w:val="7E7E7E"/>
          <w:lang w:val="en-US"/>
        </w:rPr>
        <w:t xml:space="preserve">00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1E3A2B86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CS-GnG-</w:t>
      </w:r>
      <w:r w:rsidR="00F45CD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00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57C22BF0" w14:textId="0B19D665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uto-ranging </w:t>
      </w:r>
    </w:p>
    <w:p w14:paraId="244686F5" w14:textId="0D1DC60F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67E0EC78" w14:textId="2B4C1C6C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true digital switching and no leakage</w:t>
      </w:r>
    </w:p>
    <w:p w14:paraId="148B6A45" w14:textId="29FB09F3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fixed setpoint</w:t>
      </w:r>
    </w:p>
    <w:p w14:paraId="1DA81266" w14:textId="6228D02A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69713CB4" w14:textId="253CE115" w:rsidR="00AC11E0" w:rsidRDefault="00EA2F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AC11E0" w:rsidRPr="00AC11E0">
        <w:rPr>
          <w:color w:val="7F7F7F" w:themeColor="text1" w:themeTint="80"/>
        </w:rPr>
        <w:t xml:space="preserve">olid, reliable mounting </w:t>
      </w:r>
    </w:p>
    <w:p w14:paraId="589ED3B8" w14:textId="77777777" w:rsidR="00F45CD5" w:rsidRDefault="00F45CD5" w:rsidP="00F45CD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integrated din rail mounting</w:t>
      </w: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1633" w:rsidRPr="0043200B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095AD3C8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CURRENT SETPOINT </w:t>
            </w:r>
          </w:p>
        </w:tc>
        <w:tc>
          <w:tcPr>
            <w:tcW w:w="6804" w:type="dxa"/>
          </w:tcPr>
          <w:p w14:paraId="409C5782" w14:textId="0585C52B" w:rsidR="00811633" w:rsidRPr="00F45CD5" w:rsidRDefault="00F45CD5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/>
                <w:sz w:val="22"/>
                <w:szCs w:val="22"/>
              </w:rPr>
              <w:t>Fixed at 0.75 Amps</w:t>
            </w:r>
          </w:p>
        </w:tc>
      </w:tr>
      <w:tr w:rsidR="00811633" w:rsidRPr="0043200B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30E04303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244E03C9" w:rsidR="00811633" w:rsidRPr="00F45CD5" w:rsidRDefault="00F45CD5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811633" w:rsidRPr="00F45CD5">
              <w:rPr>
                <w:rFonts w:asciiTheme="minorHAnsi" w:hAnsiTheme="minorHAnsi" w:cs="Arial"/>
                <w:sz w:val="22"/>
                <w:szCs w:val="22"/>
              </w:rPr>
              <w:t>00 Amps continuous</w:t>
            </w:r>
          </w:p>
        </w:tc>
      </w:tr>
      <w:tr w:rsidR="00811633" w:rsidRPr="0043200B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55128791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6EF5CA60" w14:textId="42E79E04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Self-powered</w:t>
            </w:r>
          </w:p>
        </w:tc>
      </w:tr>
      <w:tr w:rsidR="00811633" w:rsidRPr="0043200B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4AA5DF36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TYPE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2C4FB385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Solid-state mosfet</w:t>
            </w:r>
          </w:p>
        </w:tc>
      </w:tr>
      <w:tr w:rsidR="00811633" w:rsidRPr="0043200B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08A6C20C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ACTION </w:t>
            </w:r>
          </w:p>
        </w:tc>
        <w:tc>
          <w:tcPr>
            <w:tcW w:w="6804" w:type="dxa"/>
          </w:tcPr>
          <w:p w14:paraId="5134195A" w14:textId="006EF9D7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Normally open</w:t>
            </w:r>
          </w:p>
        </w:tc>
      </w:tr>
      <w:tr w:rsidR="00811633" w:rsidRPr="0043200B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3C73586A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RATINGS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3013B3E6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30 Vac/dc, 500 mA max</w:t>
            </w:r>
          </w:p>
        </w:tc>
      </w:tr>
      <w:tr w:rsidR="00811633" w:rsidRPr="0043200B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7EE9583E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VON @ 24 VDC AT 500 mA </w:t>
            </w:r>
          </w:p>
        </w:tc>
        <w:tc>
          <w:tcPr>
            <w:tcW w:w="6804" w:type="dxa"/>
          </w:tcPr>
          <w:p w14:paraId="0DB62A00" w14:textId="0EBC3ED9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&lt;50 mV</w:t>
            </w:r>
          </w:p>
        </w:tc>
      </w:tr>
      <w:tr w:rsidR="00811633" w:rsidRPr="0043200B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66C3C859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7FE9DD0A" w:rsidR="00811633" w:rsidRPr="00F45CD5" w:rsidRDefault="00811633" w:rsidP="00811633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50/60 Hz</w:t>
            </w:r>
          </w:p>
        </w:tc>
      </w:tr>
      <w:tr w:rsidR="00811633" w:rsidRPr="0043200B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49D1B94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</w:tcPr>
          <w:p w14:paraId="682A2655" w14:textId="0DBCA664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200 mS typical</w:t>
            </w:r>
          </w:p>
        </w:tc>
      </w:tr>
      <w:tr w:rsidR="00811633" w:rsidRPr="0043200B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3D09760F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2F02E994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600 Vac, insulated conductors</w:t>
            </w:r>
          </w:p>
        </w:tc>
      </w:tr>
      <w:tr w:rsidR="00811633" w:rsidRPr="0043200B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1DC79B39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43289B2" w14:textId="0D9AA5FD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-15 to 60°C (5 to 140°F)</w:t>
            </w:r>
          </w:p>
        </w:tc>
      </w:tr>
      <w:tr w:rsidR="00811633" w:rsidRPr="0043200B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00DE8AF2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74850395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5 to 90 %RH non-condensing</w:t>
            </w:r>
          </w:p>
        </w:tc>
      </w:tr>
      <w:tr w:rsidR="00811633" w:rsidRPr="0043200B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2DE768A3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WIRING CONNECTIONS </w:t>
            </w:r>
          </w:p>
        </w:tc>
        <w:tc>
          <w:tcPr>
            <w:tcW w:w="6804" w:type="dxa"/>
          </w:tcPr>
          <w:p w14:paraId="1F9A858B" w14:textId="21A5FDD3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Screw terminal block (14 to 22 AWG)</w:t>
            </w:r>
          </w:p>
        </w:tc>
      </w:tr>
      <w:tr w:rsidR="00811633" w:rsidRPr="0043200B" w14:paraId="767AE83D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3E72C5A" w14:textId="78073B8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69D2AAD" w14:textId="0C6C584C" w:rsidR="00811633" w:rsidRPr="00F45CD5" w:rsidRDefault="00F45CD5" w:rsidP="0081163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/>
                <w:sz w:val="22"/>
                <w:szCs w:val="22"/>
              </w:rPr>
              <w:t>67mm W x 68mm H x 24.1mm D (2.65” x 2.7” x 0.95”)</w:t>
            </w:r>
          </w:p>
        </w:tc>
      </w:tr>
      <w:tr w:rsidR="00811633" w:rsidRPr="0043200B" w14:paraId="1A5D1F1D" w14:textId="77777777" w:rsidTr="0043200B">
        <w:trPr>
          <w:trHeight w:val="265"/>
        </w:trPr>
        <w:tc>
          <w:tcPr>
            <w:tcW w:w="3397" w:type="dxa"/>
          </w:tcPr>
          <w:p w14:paraId="642C719B" w14:textId="5428685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180F347B" w14:textId="290F8A8A" w:rsidR="00811633" w:rsidRPr="00F45CD5" w:rsidRDefault="00F45CD5" w:rsidP="0081163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/>
                <w:sz w:val="22"/>
                <w:szCs w:val="22"/>
              </w:rPr>
              <w:t>20.3mm (0.8”)</w:t>
            </w:r>
          </w:p>
        </w:tc>
      </w:tr>
      <w:tr w:rsidR="0043200B" w:rsidRPr="0043200B" w14:paraId="50DDB5EC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17F5981" w14:textId="5AE3EE73" w:rsidR="0043200B" w:rsidRPr="0043200B" w:rsidRDefault="00811633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ENCLOSURE MATERIAL AGENCY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0D9965A9" w14:textId="4D9423F6" w:rsidR="0043200B" w:rsidRPr="00F45CD5" w:rsidRDefault="00811633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45CD5">
              <w:rPr>
                <w:rFonts w:asciiTheme="minorHAnsi" w:eastAsia="Myriad CAD" w:hAnsiTheme="minorHAnsi" w:cs="Myriad CAD"/>
                <w:sz w:val="22"/>
                <w:szCs w:val="22"/>
              </w:rPr>
              <w:t>ABS/PC, UL94-V0</w:t>
            </w:r>
          </w:p>
        </w:tc>
      </w:tr>
      <w:tr w:rsidR="0043200B" w:rsidRPr="0043200B" w14:paraId="047B2759" w14:textId="77777777" w:rsidTr="00811633">
        <w:trPr>
          <w:trHeight w:val="280"/>
        </w:trPr>
        <w:tc>
          <w:tcPr>
            <w:tcW w:w="3397" w:type="dxa"/>
          </w:tcPr>
          <w:p w14:paraId="6499068C" w14:textId="5095BECB" w:rsidR="0043200B" w:rsidRPr="0043200B" w:rsidRDefault="00811633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APPROVALS </w:t>
            </w:r>
          </w:p>
        </w:tc>
        <w:tc>
          <w:tcPr>
            <w:tcW w:w="6804" w:type="dxa"/>
          </w:tcPr>
          <w:p w14:paraId="6C6BF3F6" w14:textId="1BC54226" w:rsidR="0043200B" w:rsidRPr="00F45CD5" w:rsidRDefault="00811633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45CD5">
              <w:rPr>
                <w:rFonts w:asciiTheme="minorHAnsi" w:eastAsia="Myriad CAD" w:hAnsiTheme="minorHAnsi" w:cs="Myriad CAD"/>
                <w:sz w:val="22"/>
                <w:szCs w:val="22"/>
              </w:rPr>
              <w:t>cULus listed</w:t>
            </w:r>
          </w:p>
        </w:tc>
      </w:tr>
    </w:tbl>
    <w:p w14:paraId="205F0988" w14:textId="4AB7C4A5" w:rsidR="00BB4918" w:rsidRPr="00BB4918" w:rsidRDefault="00BB4918" w:rsidP="00BB4918">
      <w:pPr>
        <w:tabs>
          <w:tab w:val="left" w:pos="3510"/>
        </w:tabs>
        <w:rPr>
          <w:rFonts w:asciiTheme="minorHAnsi" w:hAnsiTheme="minorHAnsi"/>
          <w:szCs w:val="24"/>
        </w:rPr>
      </w:pPr>
    </w:p>
    <w:sectPr w:rsidR="00BB4918" w:rsidRPr="00BB4918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126C" w14:textId="77777777" w:rsidR="008579DD" w:rsidRDefault="008579DD" w:rsidP="00546523">
      <w:r>
        <w:separator/>
      </w:r>
    </w:p>
  </w:endnote>
  <w:endnote w:type="continuationSeparator" w:id="0">
    <w:p w14:paraId="5EB22A97" w14:textId="77777777" w:rsidR="008579DD" w:rsidRDefault="008579DD" w:rsidP="00546523">
      <w:r>
        <w:continuationSeparator/>
      </w:r>
    </w:p>
  </w:endnote>
  <w:endnote w:type="continuationNotice" w:id="1">
    <w:p w14:paraId="783BFA18" w14:textId="77777777" w:rsidR="008579DD" w:rsidRDefault="00857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BCB7E" w14:textId="77777777" w:rsidR="009F4EA1" w:rsidRDefault="009F4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7273C432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9F4EA1">
                            <w:rPr>
                              <w:color w:val="FFFFFF" w:themeColor="background1"/>
                              <w:sz w:val="16"/>
                            </w:rPr>
                            <w:t>CSGNG200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7273C432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9F4EA1">
                      <w:rPr>
                        <w:color w:val="FFFFFF" w:themeColor="background1"/>
                        <w:sz w:val="16"/>
                      </w:rPr>
                      <w:t>CSGNG200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873B" w14:textId="77777777" w:rsidR="009F4EA1" w:rsidRDefault="009F4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8F32" w14:textId="77777777" w:rsidR="008579DD" w:rsidRDefault="008579DD" w:rsidP="00546523">
      <w:r>
        <w:separator/>
      </w:r>
    </w:p>
  </w:footnote>
  <w:footnote w:type="continuationSeparator" w:id="0">
    <w:p w14:paraId="02B10259" w14:textId="77777777" w:rsidR="008579DD" w:rsidRDefault="008579DD" w:rsidP="00546523">
      <w:r>
        <w:continuationSeparator/>
      </w:r>
    </w:p>
  </w:footnote>
  <w:footnote w:type="continuationNotice" w:id="1">
    <w:p w14:paraId="1C62B73E" w14:textId="77777777" w:rsidR="008579DD" w:rsidRDefault="00857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9390B" w14:textId="77777777" w:rsidR="009F4EA1" w:rsidRDefault="009F4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21998" w14:textId="77777777" w:rsidR="009F4EA1" w:rsidRDefault="009F4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579DD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4EA1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2020-03-08T16:51:00Z</dcterms:created>
  <dcterms:modified xsi:type="dcterms:W3CDTF">2020-03-08T18:51:00Z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ES-CSGNG200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