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DAD5116" w14:textId="37011AF6" w:rsidR="00C333D5" w:rsidRDefault="00003322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REMOTE PROBE STRAP-ON TEMPERATURE SENSOR</w:t>
      </w:r>
    </w:p>
    <w:p w14:paraId="6A714E0C" w14:textId="34A7FECA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TS</w:t>
      </w:r>
      <w:r w:rsidR="00370A58">
        <w:rPr>
          <w:rFonts w:ascii="Calibri" w:eastAsia="Calibri" w:hAnsi="Calibri" w:cs="Calibri"/>
          <w:color w:val="7E7E7E"/>
          <w:lang w:val="en-US"/>
        </w:rPr>
        <w:t>R</w:t>
      </w:r>
      <w:r>
        <w:rPr>
          <w:rFonts w:ascii="Calibri" w:eastAsia="Calibri" w:hAnsi="Calibri" w:cs="Calibri"/>
          <w:color w:val="7E7E7E"/>
          <w:lang w:val="en-US"/>
        </w:rPr>
        <w:t xml:space="preserve">P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61F0A6A" w14:textId="77777777" w:rsidR="00C333D5" w:rsidRPr="000230EC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2F6C12BE" w14:textId="77777777" w:rsidR="00D22485" w:rsidRDefault="00D22485" w:rsidP="00D2248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224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single point remote probe strap-on temperature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224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sensor utilizes a precision sensor encapsulated in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224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6mm (0.236”) OD, 304 series stainless steel probe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224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is available in various lengths. Standard wire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224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length is 1.5m (5’). All probes are constructed to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224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provide excellent heat transfer, fast response and are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224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potted to resist moisture penetration.</w:t>
      </w:r>
    </w:p>
    <w:p w14:paraId="0DDFE334" w14:textId="77777777" w:rsidR="00D22485" w:rsidRDefault="00D22485" w:rsidP="00D2248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6017D8AA" w:rsidR="00AE3CA4" w:rsidRPr="004E3C65" w:rsidRDefault="00391455" w:rsidP="00D2248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6A6D8998" w14:textId="77777777" w:rsidR="00F17C91" w:rsidRDefault="00F17C91" w:rsidP="00F17C91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07447220" w14:textId="77777777" w:rsidR="00F17C91" w:rsidRDefault="00F17C91" w:rsidP="00F17C91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67DAEA4C" w14:textId="77777777" w:rsidR="00F17C91" w:rsidRDefault="00F17C91" w:rsidP="00F17C91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545B5A0C" w14:textId="77777777" w:rsidR="00F17C91" w:rsidRDefault="00F17C91" w:rsidP="00F17C91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4F9A628A" w14:textId="77777777" w:rsidR="00F17C91" w:rsidRDefault="00F17C91" w:rsidP="00F17C91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70C31C59" w14:textId="77777777" w:rsidR="00F17C91" w:rsidRDefault="00F17C91" w:rsidP="00F17C91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082388D5" w14:textId="16A4F41F" w:rsidR="00F17C91" w:rsidRPr="00F17C91" w:rsidRDefault="00F17C91" w:rsidP="008427F7">
      <w:pPr>
        <w:widowControl/>
        <w:numPr>
          <w:ilvl w:val="0"/>
          <w:numId w:val="30"/>
        </w:numPr>
        <w:autoSpaceDE w:val="0"/>
        <w:autoSpaceDN w:val="0"/>
        <w:snapToGrid w:val="0"/>
        <w:spacing w:before="159" w:after="120" w:line="254" w:lineRule="exact"/>
        <w:jc w:val="both"/>
        <w:rPr>
          <w:rFonts w:ascii="Calibri" w:hAnsi="Calibri" w:cs="Calibri"/>
          <w:snapToGrid/>
          <w:color w:val="808080" w:themeColor="background1" w:themeShade="80"/>
          <w:sz w:val="22"/>
          <w:szCs w:val="22"/>
          <w:lang w:val="en-CA" w:eastAsia="en-CA"/>
        </w:rPr>
      </w:pPr>
      <w:r w:rsidRPr="00F17C91"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>Probe must be one-piece 6mm O.D 304 stainless steel</w:t>
      </w:r>
      <w:r w:rsidRPr="00F17C91">
        <w:rPr>
          <w:rFonts w:asciiTheme="minorHAnsi" w:eastAsia="Myriad CAD" w:hAnsiTheme="minorHAnsi" w:cs="Myriad CAD"/>
          <w:color w:val="808080" w:themeColor="background1" w:themeShade="80"/>
          <w:sz w:val="22"/>
          <w:szCs w:val="22"/>
          <w:lang w:val="en-CA"/>
        </w:rPr>
        <w:t xml:space="preserve"> full potted</w:t>
      </w:r>
    </w:p>
    <w:p w14:paraId="564508A7" w14:textId="45595411" w:rsidR="00F17C91" w:rsidRDefault="00F17C91" w:rsidP="00F17C91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Sensing range must be -40 to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0°C (-40 to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212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3169CE21" w14:textId="77777777" w:rsidR="00F17C91" w:rsidRDefault="00F17C91" w:rsidP="00F17C91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43158B33" w14:textId="77777777" w:rsidR="00F17C91" w:rsidRDefault="00F17C91" w:rsidP="00F17C91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2C89FABF" w14:textId="77777777" w:rsidR="00F17C91" w:rsidRDefault="00F17C91" w:rsidP="00F17C91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77777777" w:rsidR="004E3C65" w:rsidRPr="004E3C65" w:rsidRDefault="004E3C65" w:rsidP="004E3C65">
      <w:pPr>
        <w:jc w:val="both"/>
        <w:rPr>
          <w:color w:val="7F7F7F" w:themeColor="text1" w:themeTint="80"/>
        </w:rPr>
      </w:pPr>
    </w:p>
    <w:p w14:paraId="23B0EB01" w14:textId="0C4A1D6D" w:rsidR="00171764" w:rsidRDefault="00171764" w:rsidP="00171764">
      <w:pPr>
        <w:jc w:val="both"/>
        <w:rPr>
          <w:color w:val="7F7F7F" w:themeColor="text1" w:themeTint="80"/>
        </w:rPr>
      </w:pPr>
    </w:p>
    <w:p w14:paraId="12579F0A" w14:textId="467CFE33" w:rsidR="00171764" w:rsidRDefault="00171764" w:rsidP="00171764">
      <w:pPr>
        <w:jc w:val="both"/>
        <w:rPr>
          <w:color w:val="7F7F7F" w:themeColor="text1" w:themeTint="80"/>
        </w:rPr>
      </w:pPr>
    </w:p>
    <w:p w14:paraId="0577B850" w14:textId="5CE69187" w:rsidR="0080293A" w:rsidRDefault="0080293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tbl>
      <w:tblPr>
        <w:tblStyle w:val="TableGrid2"/>
        <w:tblpPr w:vertAnchor="text" w:horzAnchor="margin" w:tblpYSpec="outside"/>
        <w:tblOverlap w:val="never"/>
        <w:tblW w:w="10768" w:type="dxa"/>
        <w:tblInd w:w="0" w:type="dxa"/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8273"/>
      </w:tblGrid>
      <w:tr w:rsidR="0080293A" w:rsidRPr="0080293A" w14:paraId="37254E9F" w14:textId="77777777" w:rsidTr="0080293A">
        <w:trPr>
          <w:trHeight w:val="340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4F58344A" w14:textId="77777777" w:rsidR="0080293A" w:rsidRPr="0080293A" w:rsidRDefault="0080293A" w:rsidP="0080293A">
            <w:pPr>
              <w:widowControl/>
              <w:spacing w:line="259" w:lineRule="auto"/>
              <w:ind w:left="2"/>
              <w:rPr>
                <w:rFonts w:ascii="Myriad CAD" w:eastAsia="Myriad CAD" w:hAnsi="Myriad CAD" w:cs="Myriad CAD"/>
                <w:color w:val="666767"/>
                <w:sz w:val="16"/>
                <w:szCs w:val="22"/>
                <w:lang w:val="en-CA"/>
              </w:rPr>
            </w:pPr>
            <w:r w:rsidRPr="0080293A">
              <w:rPr>
                <w:rFonts w:ascii="Myriad CAD" w:eastAsia="Myriad CAD" w:hAnsi="Myriad CAD" w:cs="Myriad CAD"/>
                <w:color w:val="FFFEFD"/>
                <w:szCs w:val="22"/>
                <w:lang w:val="en-CA"/>
              </w:rPr>
              <w:t>SPECIFICATIONS</w:t>
            </w:r>
          </w:p>
        </w:tc>
        <w:tc>
          <w:tcPr>
            <w:tcW w:w="8273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05DAD4E0" w14:textId="77777777" w:rsidR="0080293A" w:rsidRPr="0080293A" w:rsidRDefault="0080293A" w:rsidP="0080293A">
            <w:pPr>
              <w:widowControl/>
              <w:spacing w:after="160" w:line="259" w:lineRule="auto"/>
              <w:rPr>
                <w:rFonts w:ascii="Myriad CAD" w:eastAsia="Myriad CAD" w:hAnsi="Myriad CAD" w:cs="Myriad CAD"/>
                <w:color w:val="666767"/>
                <w:sz w:val="16"/>
                <w:szCs w:val="22"/>
                <w:lang w:val="en-CA"/>
              </w:rPr>
            </w:pPr>
          </w:p>
        </w:tc>
      </w:tr>
      <w:tr w:rsidR="0080293A" w:rsidRPr="0080293A" w14:paraId="4C741778" w14:textId="77777777" w:rsidTr="0080293A">
        <w:trPr>
          <w:trHeight w:val="266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D45FAE9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SENSOR TYPE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F0F9DFE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b/>
                <w:bCs/>
                <w:szCs w:val="24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Cs w:val="24"/>
                <w:lang w:val="en-CA"/>
              </w:rPr>
              <w:t>Thermistor or RTD</w:t>
            </w:r>
          </w:p>
          <w:p w14:paraId="152D0985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 Ω Platinum, IEC 751, 385 Alpha, thin film</w:t>
            </w:r>
          </w:p>
          <w:p w14:paraId="7BD2EAAF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1801 Ω NTC Thermistor, ±0.2°C</w:t>
            </w:r>
          </w:p>
          <w:p w14:paraId="658244B1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3000 Ω NTC Thermistor, ±0.2°C</w:t>
            </w:r>
          </w:p>
          <w:p w14:paraId="519223B9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3, NTC Thermistor, ±0.2°C</w:t>
            </w:r>
          </w:p>
          <w:p w14:paraId="6E715FD9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2.252K Ω NTC Thermistor, ±0.2°C</w:t>
            </w:r>
          </w:p>
          <w:p w14:paraId="0E76FA67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1000 Ω Platinum, IEC 751, 385 Alpha, thin film</w:t>
            </w:r>
          </w:p>
          <w:p w14:paraId="0570EA8F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1000 Ω Nickel, Class B, DIN 43760</w:t>
            </w:r>
          </w:p>
          <w:p w14:paraId="57E318B6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3, NTC Thermistor, ±0.2°C c/w 11K shunt resistor</w:t>
            </w:r>
          </w:p>
          <w:p w14:paraId="3E37D0C3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20,000 Ω NTC Thermistor, ±0.2°C</w:t>
            </w:r>
          </w:p>
          <w:p w14:paraId="7E50B016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2, NTC Thermistor, ±0.2°C</w:t>
            </w:r>
          </w:p>
          <w:p w14:paraId="788047BB" w14:textId="77777777" w:rsidR="0080293A" w:rsidRPr="00B94B91" w:rsidRDefault="0080293A" w:rsidP="0080293A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Ω, 25°C, ±1%, B = 3435 ±1% (25/85)</w:t>
            </w:r>
          </w:p>
          <w:p w14:paraId="70B78B9E" w14:textId="301A6133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</w:p>
        </w:tc>
      </w:tr>
      <w:tr w:rsidR="0080293A" w:rsidRPr="0080293A" w14:paraId="26545B33" w14:textId="77777777" w:rsidTr="0080293A">
        <w:trPr>
          <w:trHeight w:val="58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CB5462A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SENSOR ACCURACY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1517E7D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sz w:val="22"/>
                <w:szCs w:val="36"/>
                <w:lang w:val="en-CA"/>
              </w:rPr>
              <w:t>Thermistors:</w:t>
            </w: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 xml:space="preserve"> ±0.2°C (±0.36°F) @ 25°C (77°F)</w:t>
            </w:r>
          </w:p>
          <w:p w14:paraId="5E6E7B51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sz w:val="22"/>
                <w:szCs w:val="36"/>
                <w:lang w:val="en-CA"/>
              </w:rPr>
              <w:t>Platinum RTD’s:</w:t>
            </w: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 xml:space="preserve"> ±0.3°C (±0.54°F) @ 0°C (32°F)</w:t>
            </w:r>
          </w:p>
          <w:p w14:paraId="4F7DC0A5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sz w:val="22"/>
                <w:szCs w:val="36"/>
                <w:lang w:val="en-CA"/>
              </w:rPr>
              <w:t>Nickel RTD’s:</w:t>
            </w: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 xml:space="preserve"> ±0.4°C (±0.72°F) @ 0°C (32°F)</w:t>
            </w:r>
          </w:p>
        </w:tc>
      </w:tr>
      <w:tr w:rsidR="0080293A" w:rsidRPr="0080293A" w14:paraId="2BA22295" w14:textId="77777777" w:rsidTr="0080293A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D3B8487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PROBE SENSING RANGE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3F57F015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>-40 to 100°C (-40 to 212°F)</w:t>
            </w:r>
          </w:p>
        </w:tc>
      </w:tr>
      <w:tr w:rsidR="0080293A" w:rsidRPr="0080293A" w14:paraId="6E100611" w14:textId="77777777" w:rsidTr="0080293A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6157683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AMBIENT OPERATING RANGE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07044E7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>0 to 50°C (32 to 122°F), 5 to 95 %RH non-condensing</w:t>
            </w:r>
          </w:p>
        </w:tc>
      </w:tr>
      <w:tr w:rsidR="0080293A" w:rsidRPr="0080293A" w14:paraId="4E5F9C6D" w14:textId="77777777" w:rsidTr="0080293A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7C5A433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WIRE MATERIAL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4391ECD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>PVC insulated, parallel bonded, 22 AWG</w:t>
            </w:r>
          </w:p>
        </w:tc>
      </w:tr>
      <w:tr w:rsidR="0080293A" w:rsidRPr="0080293A" w14:paraId="01EE80CA" w14:textId="77777777" w:rsidTr="0080293A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500E879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WIRE LENGTH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EE352DB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>1.524m (5’)</w:t>
            </w:r>
          </w:p>
        </w:tc>
      </w:tr>
      <w:tr w:rsidR="0080293A" w:rsidRPr="0080293A" w14:paraId="2BEEEC6B" w14:textId="77777777" w:rsidTr="0080293A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5CF8812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PROBE MATERIAL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5A3E757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>304 series stainless steel</w:t>
            </w:r>
          </w:p>
        </w:tc>
      </w:tr>
      <w:tr w:rsidR="0080293A" w:rsidRPr="0080293A" w14:paraId="589A0ED3" w14:textId="77777777" w:rsidTr="0080293A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7F0896F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PROBE DIAMETER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1D52285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>6mm (0.236”)</w:t>
            </w:r>
          </w:p>
        </w:tc>
      </w:tr>
      <w:tr w:rsidR="0080293A" w:rsidRPr="0080293A" w14:paraId="7D43862C" w14:textId="77777777" w:rsidTr="0080293A">
        <w:trPr>
          <w:trHeight w:val="58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9378B92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ENCLOSURE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2F22E7D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sz w:val="22"/>
                <w:szCs w:val="36"/>
                <w:lang w:val="en-CA"/>
              </w:rPr>
              <w:t>A:</w:t>
            </w: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 xml:space="preserve"> ABS, UL94-V0, IP65 (NEMA 4X)</w:t>
            </w:r>
          </w:p>
          <w:p w14:paraId="2FEE5212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sz w:val="22"/>
                <w:szCs w:val="36"/>
                <w:lang w:val="en-CA"/>
              </w:rPr>
              <w:t>C:</w:t>
            </w: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 xml:space="preserve"> same as A, with a terminal block</w:t>
            </w:r>
          </w:p>
          <w:p w14:paraId="64CF3C27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sz w:val="22"/>
                <w:szCs w:val="36"/>
                <w:lang w:val="en-CA"/>
              </w:rPr>
              <w:t>E:</w:t>
            </w: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 xml:space="preserve"> Same as C, with thread adapter and cable gland fitting</w:t>
            </w:r>
          </w:p>
        </w:tc>
      </w:tr>
      <w:tr w:rsidR="0080293A" w:rsidRPr="0080293A" w14:paraId="3E231971" w14:textId="77777777" w:rsidTr="0080293A">
        <w:trPr>
          <w:trHeight w:val="42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27F364E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TERMINATION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5530C9B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sz w:val="22"/>
                <w:szCs w:val="36"/>
                <w:lang w:val="en-CA"/>
              </w:rPr>
              <w:t>A:</w:t>
            </w: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 xml:space="preserve"> Pigtail, 2 or 3 wire</w:t>
            </w:r>
          </w:p>
          <w:p w14:paraId="5E17479C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sz w:val="22"/>
                <w:szCs w:val="36"/>
                <w:lang w:val="en-CA"/>
              </w:rPr>
              <w:t>C &amp; E:</w:t>
            </w: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 xml:space="preserve"> Terminal block, 2 or 3 wire</w:t>
            </w:r>
          </w:p>
        </w:tc>
      </w:tr>
      <w:tr w:rsidR="0080293A" w:rsidRPr="0080293A" w14:paraId="056F0519" w14:textId="77777777" w:rsidTr="0080293A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393E1DC" w14:textId="77777777" w:rsidR="0080293A" w:rsidRPr="0080293A" w:rsidRDefault="0080293A" w:rsidP="0080293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 w:val="22"/>
                <w:szCs w:val="36"/>
                <w:lang w:val="en-CA"/>
              </w:rPr>
              <w:t>COUNTRY OF ORIGIN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B4C9EA5" w14:textId="77777777" w:rsidR="0080293A" w:rsidRPr="0080293A" w:rsidRDefault="0080293A" w:rsidP="0080293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sz w:val="22"/>
                <w:szCs w:val="36"/>
                <w:lang w:val="en-CA"/>
              </w:rPr>
              <w:t>Canada</w:t>
            </w:r>
          </w:p>
        </w:tc>
      </w:tr>
    </w:tbl>
    <w:p w14:paraId="1469D84A" w14:textId="3B9B461B" w:rsidR="0080293A" w:rsidRDefault="0080293A" w:rsidP="0080293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sectPr w:rsidR="0080293A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6242C" w14:textId="77777777" w:rsidR="00EB75D3" w:rsidRDefault="00EB75D3" w:rsidP="00546523">
      <w:r>
        <w:separator/>
      </w:r>
    </w:p>
  </w:endnote>
  <w:endnote w:type="continuationSeparator" w:id="0">
    <w:p w14:paraId="74AEA66C" w14:textId="77777777" w:rsidR="00EB75D3" w:rsidRDefault="00EB75D3" w:rsidP="00546523">
      <w:r>
        <w:continuationSeparator/>
      </w:r>
    </w:p>
  </w:endnote>
  <w:endnote w:type="continuationNotice" w:id="1">
    <w:p w14:paraId="2F54DAF9" w14:textId="77777777" w:rsidR="00EB75D3" w:rsidRDefault="00EB7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A2D34DF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S</w:t>
                          </w:r>
                          <w:r w:rsidR="00370A58">
                            <w:rPr>
                              <w:color w:val="FFFFFF" w:themeColor="background1"/>
                              <w:sz w:val="16"/>
                            </w:rPr>
                            <w:t>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A2D34DF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S</w:t>
                    </w:r>
                    <w:r w:rsidR="00370A58">
                      <w:rPr>
                        <w:color w:val="FFFFFF" w:themeColor="background1"/>
                        <w:sz w:val="16"/>
                      </w:rPr>
                      <w:t>RP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6E0EF" w14:textId="77777777" w:rsidR="00EB75D3" w:rsidRDefault="00EB75D3" w:rsidP="00546523">
      <w:r>
        <w:separator/>
      </w:r>
    </w:p>
  </w:footnote>
  <w:footnote w:type="continuationSeparator" w:id="0">
    <w:p w14:paraId="5AB730FB" w14:textId="77777777" w:rsidR="00EB75D3" w:rsidRDefault="00EB75D3" w:rsidP="00546523">
      <w:r>
        <w:continuationSeparator/>
      </w:r>
    </w:p>
  </w:footnote>
  <w:footnote w:type="continuationNotice" w:id="1">
    <w:p w14:paraId="41BC2994" w14:textId="77777777" w:rsidR="00EB75D3" w:rsidRDefault="00EB7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5F5CB244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0FAFyxGSstAAAA"/>
  </w:docVars>
  <w:rsids>
    <w:rsidRoot w:val="00546523"/>
    <w:rsid w:val="00002EAA"/>
    <w:rsid w:val="00003322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13BA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3735"/>
    <w:rsid w:val="001342F0"/>
    <w:rsid w:val="001347A0"/>
    <w:rsid w:val="00135B39"/>
    <w:rsid w:val="001364D7"/>
    <w:rsid w:val="00141E7C"/>
    <w:rsid w:val="001439B2"/>
    <w:rsid w:val="001530F7"/>
    <w:rsid w:val="001638EB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E42BF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1EDD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0A58"/>
    <w:rsid w:val="00374530"/>
    <w:rsid w:val="0038707D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C62C1"/>
    <w:rsid w:val="007D00F1"/>
    <w:rsid w:val="007D2A57"/>
    <w:rsid w:val="007D5243"/>
    <w:rsid w:val="007D5AA8"/>
    <w:rsid w:val="007D5EF1"/>
    <w:rsid w:val="007F6BC5"/>
    <w:rsid w:val="00800726"/>
    <w:rsid w:val="0080293A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2471"/>
    <w:rsid w:val="00A836FE"/>
    <w:rsid w:val="00A84A53"/>
    <w:rsid w:val="00AA455C"/>
    <w:rsid w:val="00AB7C3F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00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485"/>
    <w:rsid w:val="00D22605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B75D3"/>
    <w:rsid w:val="00ED1337"/>
    <w:rsid w:val="00ED1ACC"/>
    <w:rsid w:val="00ED2090"/>
    <w:rsid w:val="00ED3295"/>
    <w:rsid w:val="00EE30CA"/>
    <w:rsid w:val="00EE62AF"/>
    <w:rsid w:val="00EE6988"/>
    <w:rsid w:val="00EF4FD3"/>
    <w:rsid w:val="00F17C91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293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40</cp:revision>
  <cp:lastPrinted>2019-12-14T14:35:00Z</cp:lastPrinted>
  <dcterms:created xsi:type="dcterms:W3CDTF">2020-02-28T18:36:00Z</dcterms:created>
  <dcterms:modified xsi:type="dcterms:W3CDTF">2020-08-12T10:12:00Z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ES-TSRP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